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adjustRightInd w:val="0"/>
        <w:snapToGrid w:val="0"/>
        <w:spacing w:line="360" w:lineRule="exact"/>
        <w:ind w:left="2520" w:leftChars="0"/>
        <w:jc w:val="both"/>
        <w:outlineLvl w:val="0"/>
        <w:rPr>
          <w:rFonts w:hint="eastAsia" w:ascii="宋体" w:hAnsi="宋体" w:eastAsia="宋体" w:cs="宋体"/>
          <w:kern w:val="0"/>
          <w:sz w:val="32"/>
          <w:szCs w:val="32"/>
          <w:u w:val="none"/>
          <w:lang w:val="en"/>
        </w:rPr>
      </w:pPr>
      <w:bookmarkStart w:id="0" w:name="_Toc1436281124_WPSOffice_Level1"/>
    </w:p>
    <w:p>
      <w:pPr>
        <w:numPr>
          <w:numId w:val="0"/>
        </w:numPr>
        <w:adjustRightInd w:val="0"/>
        <w:snapToGrid w:val="0"/>
        <w:spacing w:line="360" w:lineRule="exact"/>
        <w:ind w:left="2520" w:leftChars="0"/>
        <w:jc w:val="both"/>
        <w:outlineLvl w:val="0"/>
        <w:rPr>
          <w:rFonts w:hint="eastAsia" w:ascii="宋体" w:hAnsi="宋体" w:eastAsia="宋体" w:cs="宋体"/>
          <w:kern w:val="0"/>
          <w:sz w:val="32"/>
          <w:szCs w:val="32"/>
          <w:u w:val="none"/>
          <w:lang w:val="en"/>
        </w:rPr>
      </w:pPr>
      <w:bookmarkStart w:id="1" w:name="_GoBack"/>
      <w:r>
        <w:rPr>
          <w:rFonts w:hint="eastAsia" w:ascii="宋体" w:hAnsi="宋体" w:eastAsia="宋体" w:cs="宋体"/>
          <w:kern w:val="0"/>
          <w:sz w:val="32"/>
          <w:szCs w:val="32"/>
          <w:u w:val="none"/>
          <w:lang w:val="en"/>
        </w:rPr>
        <w:t>国民经济核算统计指标</w:t>
      </w:r>
      <w:bookmarkEnd w:id="0"/>
    </w:p>
    <w:bookmarkEnd w:id="1"/>
    <w:p>
      <w:pPr>
        <w:pStyle w:val="2"/>
        <w:spacing w:after="0" w:line="360" w:lineRule="exact"/>
        <w:ind w:left="840" w:leftChars="400" w:firstLine="0" w:firstLineChars="0"/>
        <w:rPr>
          <w:u w:val="none"/>
          <w:lang w:val="en"/>
        </w:rPr>
      </w:pP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地区生产总值(地区GDP)</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地区生产总值(地区GDP)</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b/>
          <w:bCs/>
          <w:color w:val="auto"/>
          <w:sz w:val="32"/>
          <w:szCs w:val="32"/>
          <w:u w:val="none"/>
        </w:rPr>
        <w:t xml:space="preserve"> </w:t>
      </w:r>
      <w:r>
        <w:rPr>
          <w:rFonts w:hint="eastAsia" w:ascii="仿宋_GB2312" w:hAnsi="仿宋_GB2312" w:eastAsia="仿宋_GB2312" w:cs="仿宋_GB2312"/>
          <w:color w:val="auto"/>
          <w:sz w:val="32"/>
          <w:szCs w:val="32"/>
          <w:u w:val="none"/>
        </w:rPr>
        <w:t xml:space="preserve"> 指按市场价格计算的一个地区所有常住单位在一定时期内生产活动的最终成果。地区生产总值有三种表现形态，即价值形态、收入形态和产品形态。从价值形态看，它是所有常住单位在一定时期内生产的全部货物和服务价值与同期投入的全部非固定资产货物和服务价值的差额，即所有常住单位的增加值之和；从收入形态看，它是所有常住单位在一定时期内形成的劳动者报酬、生产税净额、固定资产折旧、营业盈余等各项收入之和；从产品形态看，它是所有常住单位在一定时期内最终使用的货物和服务价值与货物和服务净流出价值之和。</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劳动者报酬</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劳动者报酬</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指劳动者因从事生产活动所获得的全部报酬。既包括货币形式的报酬，也包括实物形式的报酬。主要包括工资、奖金、津贴和补贴、单位为其员工交纳的社会保险费、补充社会保险费和住房公积金、行政事业单位职工离退休金、单位为其员工提供的雇员股票期权及其他各种形式的报酬和福利等。</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生产税净额</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生产税净额</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b/>
          <w:bCs/>
          <w:color w:val="auto"/>
          <w:sz w:val="32"/>
          <w:szCs w:val="32"/>
          <w:u w:val="none"/>
        </w:rPr>
        <w:t xml:space="preserve"> </w:t>
      </w:r>
      <w:r>
        <w:rPr>
          <w:rFonts w:hint="eastAsia" w:ascii="仿宋_GB2312" w:hAnsi="仿宋_GB2312" w:eastAsia="仿宋_GB2312" w:cs="仿宋_GB2312"/>
          <w:color w:val="auto"/>
          <w:sz w:val="32"/>
          <w:szCs w:val="32"/>
          <w:u w:val="none"/>
        </w:rPr>
        <w:t xml:space="preserve"> 指生产税减生产补贴后的余额。生产税指政府对生产单位从事生产、销售和经营活动以及因从事生产活动使用某些生产要素(如固定资产和土地等)所征收的各种税收、附加费和规费。生产补贴与生产税相反，指政府为影响生产单位生产、销售及定价等生产活动而对其提供的无偿支出，因此视为负生产税，包括农业生产补贴、政策亏损补贴等。</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固定资产折旧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固定资产折旧</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b/>
          <w:bCs/>
          <w:color w:val="auto"/>
          <w:sz w:val="32"/>
          <w:szCs w:val="32"/>
          <w:u w:val="none"/>
        </w:rPr>
        <w:t xml:space="preserve"> </w:t>
      </w:r>
      <w:r>
        <w:rPr>
          <w:rFonts w:hint="eastAsia" w:ascii="仿宋_GB2312" w:hAnsi="仿宋_GB2312" w:eastAsia="仿宋_GB2312" w:cs="仿宋_GB2312"/>
          <w:color w:val="auto"/>
          <w:sz w:val="32"/>
          <w:szCs w:val="32"/>
          <w:u w:val="none"/>
        </w:rPr>
        <w:t xml:space="preserve"> 指由于自然退化、正常淘汰或损耗而导致的固定资产价值下降，用以代表固定资产通过生产过程被转移到其产出中的价值。</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营业盈余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营业盈余</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指常住单位创造的增加值扣除劳动者报酬、生产税净额和固定资产折旧后的余额。</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最终消费支出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最终消费支出</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最终消费支出指常住单位为了直接满足个人或公共消费需求而对货物和服务的支出总额。最终消费支出分为居民消费支出和政府消费支出。</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居民消费支出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居民消费支出</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指常住居民为了直接满足生活需要购买和使用货物及服务的消费支出。居民消费支出既包括直接以货币形式购买货物和服务，也包括通过实物报酬形式得到的货物和服务以及居民自产自用的货物，还包括虚拟计算的自有住房服务和间接计算的金融中介服务。</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政府消费支出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政府消费支出</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b/>
          <w:bCs/>
          <w:color w:val="auto"/>
          <w:sz w:val="32"/>
          <w:szCs w:val="32"/>
          <w:u w:val="none"/>
        </w:rPr>
        <w:t xml:space="preserve"> </w:t>
      </w:r>
      <w:r>
        <w:rPr>
          <w:rFonts w:hint="eastAsia" w:ascii="仿宋_GB2312" w:hAnsi="仿宋_GB2312" w:eastAsia="仿宋_GB2312" w:cs="仿宋_GB2312"/>
          <w:color w:val="auto"/>
          <w:sz w:val="32"/>
          <w:szCs w:val="32"/>
          <w:u w:val="none"/>
        </w:rPr>
        <w:t xml:space="preserve"> 指政府部门为全社会提供公共服务发生的消费支出，和免费或以没有显著经济意义价格向居民提供货物和服务的净支出。</w:t>
      </w:r>
    </w:p>
    <w:p>
      <w:pPr>
        <w:pStyle w:val="7"/>
        <w:snapToGrid w:val="0"/>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资本形成总额</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资本形成总额</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反映常住单位在核算期非金融生产资产的积累情况，包括固定资本形成总额和存货变动两部分。</w:t>
      </w:r>
    </w:p>
    <w:p>
      <w:pPr>
        <w:snapToGrid w:val="0"/>
        <w:spacing w:line="3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固定资本形成总额</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"固定资本形成总额" </w:instrText>
      </w:r>
      <w:r>
        <w:rPr>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b/>
          <w:bCs/>
          <w:sz w:val="32"/>
          <w:szCs w:val="32"/>
          <w:u w:val="none"/>
        </w:rPr>
        <w:t xml:space="preserve">  </w:t>
      </w:r>
      <w:r>
        <w:rPr>
          <w:rFonts w:hint="eastAsia" w:ascii="仿宋_GB2312" w:hAnsi="仿宋_GB2312" w:eastAsia="仿宋_GB2312" w:cs="仿宋_GB2312"/>
          <w:kern w:val="0"/>
          <w:sz w:val="32"/>
          <w:szCs w:val="32"/>
          <w:u w:val="none"/>
        </w:rPr>
        <w:t>指生产者获得减处置的固定资产的价值，加上附着于非生产资产价值上的某些特定支出，如所有权转移费用。固定资产是通过生产活动生产出来的，在生产活动中使用一年以上，单位价值在规定标准以上的资产，不包括自然资产、耐用消费品、小型工器具。固定资本形成总额按购买者价格计算，并在所有权发生变化时记录。目前的核算内容主要包括住宅，其他建筑和构筑物，机器和设备，知识产权产品的获得减处置等。</w:t>
      </w:r>
    </w:p>
    <w:p>
      <w:pPr>
        <w:pStyle w:val="7"/>
        <w:snapToGrid w:val="0"/>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存货变动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存货变动</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指常住单位存货实物量变动的市场价值，即期末价值减期初价值的差额，其中不包括核算期内由于价格变动而产生的持有损益。存货的核算范围既包括生产单位购进的原材料、燃料和储备物资等存货，也包括生产单位生产的产成品、在制品和半成品等存货。存货变动可以是正值，也可以是负值，正值表示存货增加，负值表示存货减少。根据资料来源，存货变动按行业计算。</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机构单位</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机构单位</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指能够以自己的名义拥有资产和承担负债，能够独立地从事经济活动并与其他主体进行交易的经济主体。</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机构部门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机构部门</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将相同性质的机构单位归并在一起，就形成机构部门。我国国民经济核算将常住机构单位划分为以下四个机构部门：非金融企业部门、金融机构部门、广义政府部门、住户部门。与常住单位发生交易的非常住单位称为国外，在核算中也视同机构部门。</w:t>
      </w:r>
    </w:p>
    <w:p>
      <w:pPr>
        <w:pStyle w:val="7"/>
        <w:spacing w:line="360" w:lineRule="exact"/>
        <w:ind w:firstLine="640" w:firstLineChars="200"/>
        <w:rPr>
          <w:rFonts w:hint="eastAsia" w:ascii="仿宋_GB2312" w:hAnsi="仿宋_GB2312" w:eastAsia="仿宋_GB2312" w:cs="仿宋_GB2312"/>
          <w:color w:val="auto"/>
          <w:spacing w:val="4"/>
          <w:sz w:val="32"/>
          <w:szCs w:val="32"/>
          <w:u w:val="none"/>
        </w:rPr>
      </w:pPr>
      <w:r>
        <w:rPr>
          <w:rFonts w:hint="eastAsia" w:ascii="仿宋_GB2312" w:hAnsi="仿宋_GB2312" w:eastAsia="仿宋_GB2312" w:cs="仿宋_GB2312"/>
          <w:color w:val="auto"/>
          <w:sz w:val="32"/>
          <w:szCs w:val="32"/>
          <w:u w:val="none"/>
        </w:rPr>
        <w:t>非金融企业与非金融企业部门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非金融企业与非金融企业部门</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pacing w:val="4"/>
          <w:sz w:val="32"/>
          <w:szCs w:val="32"/>
          <w:u w:val="none"/>
        </w:rPr>
        <w:t>非金融企业指主要从事市场性货物生产或提供非金融市场性服务的常住企业，它主要包括从事上述活动的各类法人企业。所有非金融企业组成非金融企业部门。</w:t>
      </w:r>
    </w:p>
    <w:p>
      <w:pPr>
        <w:pStyle w:val="7"/>
        <w:spacing w:line="360" w:lineRule="exact"/>
        <w:ind w:firstLine="640" w:firstLineChars="200"/>
        <w:rPr>
          <w:rFonts w:hint="eastAsia" w:ascii="仿宋_GB2312" w:hAnsi="仿宋_GB2312" w:eastAsia="仿宋_GB2312" w:cs="仿宋_GB2312"/>
          <w:color w:val="auto"/>
          <w:spacing w:val="4"/>
          <w:sz w:val="32"/>
          <w:szCs w:val="32"/>
          <w:u w:val="none"/>
        </w:rPr>
      </w:pPr>
      <w:r>
        <w:rPr>
          <w:rFonts w:hint="eastAsia" w:ascii="仿宋_GB2312" w:hAnsi="仿宋_GB2312" w:eastAsia="仿宋_GB2312" w:cs="仿宋_GB2312"/>
          <w:color w:val="auto"/>
          <w:sz w:val="32"/>
          <w:szCs w:val="32"/>
          <w:u w:val="none"/>
        </w:rPr>
        <w:t>金融机构与金融机构部门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金融机构与金融机构部门</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color w:val="auto"/>
          <w:spacing w:val="4"/>
          <w:sz w:val="32"/>
          <w:szCs w:val="32"/>
          <w:u w:val="none"/>
        </w:rPr>
        <w:t>金融机构指主要从事金融媒介以及与金融媒介密切相关的辅助金融活动的常住单位，包括从事货币金融服务、资本市场服务、保险服务、其他金融服务等活动的法人单位。所有金融机构组成金融机构部门。</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广义政府机构与广义政府部门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广义政府机构与广义政府部门</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广义政府机构指在设定区域内对其他机构单位拥有立法、司法或行政权的法律实体及其附属单位，主要包括各级党政机关、群众团体、事业单位、基层群众性自治组织等。广义政府机构的主要职能是利用征税和其他方式获得的资金向社会和公众提供货物和服务；通过转移支付，对社会收入和财产进行再分配；从事非市场性生产。所有广义政府机构组成广义政府部门。</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住户与住户部门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住户与住户部门</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住户指共享同一生活设施、共同使用部分或全部收入和财产，共同消费住房、食品和其他消费品与服务的常住个人或个人群体。所有住户组成住户部门。 </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非常住单位与国外</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非常住单位与国外</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b/>
          <w:bCs/>
          <w:color w:val="auto"/>
          <w:sz w:val="32"/>
          <w:szCs w:val="32"/>
          <w:u w:val="none"/>
        </w:rPr>
        <w:t xml:space="preserve"> </w:t>
      </w:r>
      <w:r>
        <w:rPr>
          <w:rFonts w:hint="eastAsia" w:ascii="仿宋_GB2312" w:hAnsi="仿宋_GB2312" w:eastAsia="仿宋_GB2312" w:cs="仿宋_GB2312"/>
          <w:color w:val="auto"/>
          <w:sz w:val="32"/>
          <w:szCs w:val="32"/>
          <w:u w:val="none"/>
        </w:rPr>
        <w:t xml:space="preserve"> 所有不具有常住性的机构单位都是非常住单位。与我国常住单位发生交易的所有非常住单位组成国外。</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初次分配总收入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初次分配总收入</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收入初次分配指生产活动创造的新增价值和固定资产转移价值（即增加值），在参与生产活动的生产要素所有者及政府之间的分配。生产要素主要包括劳动力、资本和自然资源。劳动力所有者因提供劳动而获得劳动者报酬；资本所有者因提供资本而获得不同形式的收入，如借贷资本所有者获得利息收入，股权所有者获得红利或参与利润分配；自然资源所有者因出让自然资源使用权而获得地租。政府因国家管理需要对生产活动或生产要素征收生产税，同时也因扶持有关活动而支付生产补贴。初次分配的结果形成各个机构部门的初次分配总收入。各部门的初次分配总收入之和就等于国民总收入。</w:t>
      </w:r>
    </w:p>
    <w:p>
      <w:pPr>
        <w:pStyle w:val="4"/>
        <w:spacing w:line="3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经常转移</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"经常转移" </w:instrText>
      </w:r>
      <w:r>
        <w:rPr>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sz w:val="32"/>
          <w:szCs w:val="32"/>
          <w:u w:val="none"/>
        </w:rPr>
        <w:t xml:space="preserve">  转移是指一个机构单位向另一个机构单位提供货物、服务或资产，但又不从后者获取任何直接对应回报的一种交易。转移分为经常转移和资本转移。经常转移包括除资本转移外的所有转移。其形式有所得税、财产税等经常税、社会保险缴款、社会保险福利、社会补助和其他经常转移。</w:t>
      </w:r>
    </w:p>
    <w:p>
      <w:pPr>
        <w:pStyle w:val="7"/>
        <w:spacing w:line="360" w:lineRule="exact"/>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资本转移</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资本转移</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 xml:space="preserve">  资本转移指交易的一方或双方涉及获得或处置资产（除存货和现金外）的转移。资本转移包括资本税、投资性补助和其他资本转移。</w:t>
      </w:r>
    </w:p>
    <w:p>
      <w:pPr>
        <w:pStyle w:val="7"/>
        <w:spacing w:line="36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净金融投资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u w:val="none"/>
        </w:rPr>
        <w:instrText xml:space="preserve"> XE "</w:instrText>
      </w:r>
      <w:r>
        <w:rPr>
          <w:rFonts w:hint="eastAsia" w:ascii="仿宋_GB2312" w:hAnsi="仿宋_GB2312" w:eastAsia="仿宋_GB2312" w:cs="仿宋_GB2312"/>
          <w:color w:val="auto"/>
          <w:sz w:val="32"/>
          <w:szCs w:val="32"/>
          <w:u w:val="none"/>
        </w:rPr>
        <w:instrText xml:space="preserve">净金融投资</w:instrText>
      </w:r>
      <w:r>
        <w:rPr>
          <w:rFonts w:hint="eastAsia" w:ascii="仿宋_GB2312" w:hAnsi="仿宋_GB2312" w:eastAsia="仿宋_GB2312" w:cs="仿宋_GB2312"/>
          <w:sz w:val="32"/>
          <w:szCs w:val="32"/>
          <w:u w:val="none"/>
        </w:rPr>
        <w:instrText xml:space="preserve">" </w:instrTex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b/>
          <w:bCs/>
          <w:color w:val="auto"/>
          <w:sz w:val="32"/>
          <w:szCs w:val="32"/>
          <w:u w:val="none"/>
        </w:rPr>
        <w:t xml:space="preserve"> </w:t>
      </w:r>
      <w:r>
        <w:rPr>
          <w:rFonts w:hint="eastAsia" w:ascii="仿宋_GB2312" w:hAnsi="仿宋_GB2312" w:eastAsia="仿宋_GB2312" w:cs="仿宋_GB2312"/>
          <w:color w:val="auto"/>
          <w:sz w:val="32"/>
          <w:szCs w:val="32"/>
          <w:u w:val="none"/>
        </w:rPr>
        <w:t xml:space="preserve"> 净金融投资反映各机构部门或经济总体非金融投资过程中的资金富余或短缺状况。从非金融交易角度看，它指总储蓄加资本转移收入减资本转移支出减非金融投资后的差额。从金融交易角度看，它是金融资产增加额减金融负债增加额的差额。</w:t>
      </w:r>
    </w:p>
    <w:p>
      <w:r>
        <w:rPr>
          <w:rFonts w:ascii="黑体" w:hAnsi="黑体" w:eastAsia="黑体" w:cs="黑体"/>
          <w:color w:val="000000"/>
          <w:kern w:val="0"/>
          <w:sz w:val="32"/>
          <w:szCs w:val="32"/>
          <w:u w:val="none"/>
        </w:rPr>
        <w:br w:type="page"/>
      </w:r>
    </w:p>
    <w:sectPr>
      <w:pgSz w:w="11906" w:h="16838"/>
      <w:pgMar w:top="2041" w:right="1474" w:bottom="1474" w:left="1474" w:header="850" w:footer="1134"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汉仪书宋一简">
    <w:altName w:val="宋体"/>
    <w:panose1 w:val="00000000000000000000"/>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934FBC"/>
    <w:rsid w:val="72B571CB"/>
    <w:rsid w:val="7C700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200" w:firstLineChars="200"/>
    </w:pPr>
    <w:rPr>
      <w:rFonts w:ascii="Calibri"/>
      <w:sz w:val="21"/>
    </w:rPr>
  </w:style>
  <w:style w:type="paragraph" w:styleId="3">
    <w:name w:val="Body Text Indent"/>
    <w:basedOn w:val="1"/>
    <w:qFormat/>
    <w:uiPriority w:val="99"/>
    <w:pPr>
      <w:ind w:firstLine="630"/>
    </w:pPr>
    <w:rPr>
      <w:rFonts w:ascii="仿宋_GB2312" w:eastAsia="仿宋_GB2312"/>
      <w:b/>
      <w:bCs/>
      <w:sz w:val="32"/>
    </w:rPr>
  </w:style>
  <w:style w:type="paragraph" w:styleId="4">
    <w:name w:val="Plain Text"/>
    <w:basedOn w:val="1"/>
    <w:qFormat/>
    <w:uiPriority w:val="0"/>
    <w:rPr>
      <w:rFonts w:ascii="宋体" w:hAnsi="Courier New"/>
      <w:szCs w:val="20"/>
    </w:rPr>
  </w:style>
  <w:style w:type="paragraph" w:customStyle="1" w:styleId="7">
    <w:name w:val="内文文字"/>
    <w:qFormat/>
    <w:uiPriority w:val="0"/>
    <w:pPr>
      <w:widowControl w:val="0"/>
      <w:autoSpaceDE w:val="0"/>
      <w:autoSpaceDN w:val="0"/>
      <w:adjustRightInd w:val="0"/>
      <w:spacing w:line="290" w:lineRule="atLeast"/>
      <w:ind w:firstLine="397"/>
      <w:jc w:val="both"/>
    </w:pPr>
    <w:rPr>
      <w:rFonts w:hint="eastAsia" w:ascii="汉仪书宋一简" w:hAnsi="Times New Roman" w:eastAsia="汉仪书宋一简" w:cs="Times New Roman"/>
      <w:color w:val="000000"/>
      <w:sz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傅燕舞</cp:lastModifiedBy>
  <dcterms:modified xsi:type="dcterms:W3CDTF">2022-01-29T08:30:55Z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22EE719E775D4530BF7ABFDA5F1E7C2A</vt:lpwstr>
  </property>
</Properties>
</file>