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441621-2024-00040</w:t>
      </w:r>
    </w:p>
    <w:p>
      <w:pPr>
        <w:jc w:val="center"/>
      </w:pPr>
      <w:r>
        <w:rPr>
          <w:b/>
          <w:sz w:val="24"/>
        </w:rPr>
        <w:t>采购项目编号：</w:t>
      </w:r>
      <w:r>
        <w:rPr>
          <w:b/>
          <w:sz w:val="24"/>
        </w:rPr>
        <w:t>HYSHY2023027</w:t>
      </w:r>
    </w:p>
    <w:p>
      <w:pPr>
        <w:jc w:val="center"/>
      </w:pPr>
      <w:r>
        <w:rPr>
          <w:b/>
          <w:sz w:val="24"/>
        </w:rPr>
        <w:t>项目名称：</w:t>
      </w:r>
      <w:r>
        <w:rPr>
          <w:b/>
          <w:sz w:val="24"/>
        </w:rPr>
        <w:t>紫金县平安乡村智慧视频项目</w:t>
      </w:r>
    </w:p>
    <w:p>
      <w:pPr>
        <w:jc w:val="center"/>
      </w:pPr>
      <w:r>
        <w:rPr>
          <w:b/>
          <w:sz w:val="24"/>
        </w:rPr>
        <w:t>采购人：</w:t>
      </w:r>
      <w:r>
        <w:rPr>
          <w:b/>
          <w:sz w:val="24"/>
        </w:rPr>
        <w:t>紫金县公安局</w:t>
      </w:r>
    </w:p>
    <w:p>
      <w:pPr>
        <w:jc w:val="center"/>
      </w:pPr>
      <w:r>
        <w:rPr>
          <w:b/>
          <w:sz w:val="24"/>
        </w:rPr>
        <w:t>采购代理机构：</w:t>
      </w:r>
      <w:r>
        <w:rPr>
          <w:b/>
          <w:sz w:val="24"/>
        </w:rPr>
        <w:t>广东省华屹项目管理有限公司</w:t>
      </w:r>
    </w:p>
    <w:p>
      <w:pPr>
        <w:ind w:firstLine="480"/>
      </w:pPr>
    </w:p>
    <w:p>
      <w:r>
        <w:rPr/>
        <w:t xml:space="preserve"> </w:t>
      </w:r>
    </w:p>
    <w:p/>
    <w:p>
      <w:pPr>
        <w:jc w:val="center"/>
      </w:pPr>
      <w:r>
        <w:rPr>
          <w:b/>
          <w:sz w:val="36"/>
        </w:rPr>
        <w:t>第一章投标邀请</w:t>
      </w:r>
    </w:p>
    <w:p>
      <w:pPr>
        <w:ind w:firstLine="480"/>
      </w:pPr>
      <w:r>
        <w:rPr/>
        <w:t>广东省华屹项目管理有限公司</w:t>
      </w:r>
      <w:r>
        <w:rPr/>
        <w:t>受</w:t>
      </w:r>
      <w:r>
        <w:rPr/>
        <w:t>紫金县公安局</w:t>
      </w:r>
      <w:r>
        <w:rPr/>
        <w:t>的委托，采用</w:t>
      </w:r>
      <w:r>
        <w:rPr/>
        <w:t>公开招标</w:t>
      </w:r>
      <w:r>
        <w:rPr/>
        <w:t>方式组织采购</w:t>
      </w:r>
      <w:r>
        <w:rPr/>
        <w:t>紫金县平安乡村智慧视频项目</w:t>
      </w:r>
      <w:r>
        <w:rPr/>
        <w:t>。欢迎符合资格条件的国内供应商参加投标。</w:t>
      </w:r>
    </w:p>
    <w:p>
      <w:r>
        <w:rPr>
          <w:b/>
          <w:sz w:val="28"/>
        </w:rPr>
        <w:t>一.项目概述</w:t>
      </w:r>
    </w:p>
    <w:p>
      <w:r>
        <w:rPr>
          <w:b/>
          <w:sz w:val="24"/>
        </w:rPr>
        <w:t>1.名称与编号</w:t>
      </w:r>
    </w:p>
    <w:p>
      <w:pPr>
        <w:ind w:firstLine="480"/>
      </w:pPr>
      <w:r>
        <w:rPr/>
        <w:t>项目名称：</w:t>
      </w:r>
      <w:r>
        <w:rPr/>
        <w:t>紫金县平安乡村智慧视频项目</w:t>
      </w:r>
    </w:p>
    <w:p>
      <w:pPr>
        <w:ind w:firstLine="480"/>
      </w:pPr>
      <w:r>
        <w:rPr/>
        <w:t>采购计划编号：</w:t>
      </w:r>
      <w:r>
        <w:rPr/>
        <w:t>441621-2024-00040</w:t>
      </w:r>
    </w:p>
    <w:p>
      <w:pPr>
        <w:ind w:firstLine="480"/>
      </w:pPr>
      <w:r>
        <w:rPr/>
        <w:t>采购项目编号：</w:t>
      </w:r>
      <w:r>
        <w:rPr/>
        <w:t>HYSHY2023027</w:t>
      </w:r>
    </w:p>
    <w:p>
      <w:pPr>
        <w:ind w:firstLine="480"/>
      </w:pPr>
      <w:r>
        <w:rPr/>
        <w:t>采购方式：</w:t>
      </w:r>
      <w:r>
        <w:rPr/>
        <w:t>公开招标</w:t>
      </w:r>
    </w:p>
    <w:p>
      <w:pPr>
        <w:ind w:firstLine="480"/>
      </w:pPr>
      <w:r>
        <w:rPr/>
        <w:t>预算金额：</w:t>
      </w:r>
      <w:r>
        <w:rPr/>
        <w:t>4,851,920.12</w:t>
      </w:r>
      <w:r>
        <w:rPr/>
        <w:t>元</w:t>
      </w:r>
    </w:p>
    <w:p>
      <w:r>
        <w:rPr>
          <w:b/>
          <w:sz w:val="24"/>
        </w:rPr>
        <w:t>2.项目内容及需求情况（采购项目技术规格、参数及要求）</w:t>
      </w:r>
    </w:p>
    <w:p>
      <w:pPr>
        <w:ind w:firstLine="480"/>
      </w:pPr>
    </w:p>
    <w:p/>
    <w:p>
      <w:r>
        <w:rPr/>
        <w:t>采购包1(紫金县平安乡村智慧视频项目):</w:t>
      </w:r>
    </w:p>
    <w:p>
      <w:r>
        <w:rPr/>
        <w:t>采购包预算金额：4,851,920.12元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1-1</w:t>
            </w:r>
          </w:p>
        </w:tc>
        <w:tc>
          <w:tcPr>
            <w:tcW w:type="dxa" w:w="1424"/>
          </w:tcPr>
          <w:p>
            <w:r>
              <w:rPr/>
              <w:t>其他系统集成实施服务</w:t>
            </w:r>
          </w:p>
        </w:tc>
        <w:tc>
          <w:tcPr>
            <w:tcW w:type="dxa" w:w="2136"/>
          </w:tcPr>
          <w:p>
            <w:r>
              <w:rPr/>
              <w:t>紫金县平安乡村智慧视频项目</w:t>
            </w:r>
          </w:p>
        </w:tc>
        <w:tc>
          <w:tcPr>
            <w:tcW w:type="dxa" w:w="1187"/>
          </w:tcPr>
          <w:p>
            <w:r>
              <w:rPr/>
              <w:t>1.00(项)</w:t>
            </w:r>
          </w:p>
        </w:tc>
        <w:tc>
          <w:tcPr>
            <w:tcW w:type="dxa" w:w="1187"/>
          </w:tcPr>
          <w:p>
            <w:r>
              <w:rPr/>
              <w:t>详见第二章</w:t>
            </w:r>
          </w:p>
        </w:tc>
        <w:tc>
          <w:tcPr>
            <w:tcW w:type="dxa" w:w="1187"/>
          </w:tcPr>
          <w:p>
            <w:r>
              <w:rPr/>
              <w:t>否</w:t>
            </w:r>
          </w:p>
        </w:tc>
      </w:tr>
    </w:tbl>
    <w:p/>
    <w:p>
      <w:r>
        <w:rPr/>
        <w:t>本采购包不接受联合体投标</w:t>
      </w:r>
    </w:p>
    <w:p/>
    <w:p>
      <w:r>
        <w:rPr/>
        <w:t>合同履行期限：39个月（其中：签订合同后3个月内完成所有设备及系统的安装调试；从项目验收合格之日起计算，项目运营维护期不少于36个月（即为3年））</w:t>
      </w:r>
    </w:p>
    <w:p/>
    <w:p>
      <w:r>
        <w:rPr>
          <w:b/>
          <w:sz w:val="28"/>
        </w:rPr>
        <w:t>二.投标人的资格要求</w:t>
      </w:r>
    </w:p>
    <w:p>
      <w:r>
        <w:rPr>
          <w:b/>
          <w:sz w:val="24"/>
        </w:rPr>
        <w:t>1.投标人应具备《中华人民共和国政府采购法》第二十二条规定的条件，提供下列材料：</w:t>
      </w:r>
    </w:p>
    <w:p>
      <w:pPr>
        <w:ind w:firstLine="480"/>
      </w:pPr>
    </w:p>
    <w:p/>
    <w:p>
      <w:r>
        <w:rPr/>
        <w:t>1）具有独立承担民事责任的能力：在中华人民共和国境内注册的具有独立承担民事责任能力的法人或其他组织。投标时提交有效的营业执照（或事业法人登记证等相关证明）副本复印件。分支机构投标的，须取得具有法人资格的总公司出具给分支机构的授权书，并提供总公司和分公司营业执照复印件。已由总公司授权的，总公司取得的相关资质证书对分支机构有效，法律法规或者行业另有规定的除外。</w:t>
      </w:r>
    </w:p>
    <w:p/>
    <w:p>
      <w:r>
        <w:rPr/>
        <w:t>2）具有良好的商业信誉和健全的财务会计制度：提供2022年度财务报表或2023年以来任意一月财务报表或基本开户行出具的资信证明。若供应商新注册的，则提供成立至今的月或季度财务状况报表。</w:t>
      </w:r>
    </w:p>
    <w:p/>
    <w:p>
      <w:r>
        <w:rPr/>
        <w:t>3）履行合同所必需的设备和专业技术能力：提供具备履行合同所必需的设备和专业技术能力的承诺函。</w:t>
      </w:r>
    </w:p>
    <w:p/>
    <w:p>
      <w:r>
        <w:rPr/>
        <w:t>4）有依法缴纳税收和社会保障资金的良好记录：提供投标截止日前6个月内任意1个月依法缴纳税收和社会保障资金的相关材料，如依法免税或不需要缴纳社会保障资金的，应提供相应文件证明。</w:t>
      </w:r>
    </w:p>
    <w:p/>
    <w:p>
      <w:r>
        <w:rPr/>
        <w:t>5）参加采购活动前3年内，在经营活动中没有重大违法记录：参加采购活动前3年内，在经营活动中没有重大违法记录：提供书面声明。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采购包1（紫金县平安乡村智慧视频项目）：</w:t>
      </w:r>
      <w:r>
        <w:rPr/>
        <w:t>无。</w:t>
      </w:r>
    </w:p>
    <w:p/>
    <w:p>
      <w:r>
        <w:rPr>
          <w:b/>
          <w:sz w:val="24"/>
        </w:rPr>
        <w:t>3.本项目特定的资格要求：</w:t>
      </w:r>
    </w:p>
    <w:p>
      <w:pPr>
        <w:ind w:firstLine="480"/>
      </w:pPr>
    </w:p>
    <w:p/>
    <w:p>
      <w:r>
        <w:rPr/>
        <w:t>采购包1（紫金县平安乡村智慧视频项目）：</w:t>
      </w:r>
    </w:p>
    <w:p/>
    <w:p>
      <w:r>
        <w:rPr/>
        <w:t>1)单位负责人为同一人或者存在直接控股、管理关系的不同供应商，不得参加同一合同项下的政府采购活动(投标人出具声明函)；为采购项目提供整体设计、规范编制或者项目管理、监理、检测等服务的供应商，不得再参加该采购项目的其他采购活动(投标人出具声明函)。</w:t>
      </w:r>
    </w:p>
    <w:p/>
    <w:p>
      <w:r>
        <w:rPr/>
        <w:t>2)投标人未被列入“中国执行信息公开网”（http://zxgk.court.gov.cn/shixin/）“失信被执行人”名单、“信用中国”网站（www.creditchina.gov.cn）“重大税收违法失信主体、政府采购严重违法失信行为记录名单”，没有处于“中国政府采购网”(www.ccgp.gov.cn)“政府采购严重违法失信行为信息记录”中的禁止参加政府采购活动期间。(以采购人或采购代理机构于投标(响应)文件递交截止日当天在“中国执行信息公开网”、“信用中国”网站及“中国政府采购网”查询结果为准，如相关记录已失效，投标人需提供相关证明资料)。</w:t>
      </w:r>
    </w:p>
    <w:p/>
    <w:p>
      <w:r>
        <w:rPr/>
        <w:t>3)投标人必须具有有效的省级或以上公安部门或行业协会颁发的叁级或以上《安全技术防范系统设计、施工、维修资格证》（非广东省公安厅颁发的，须提供已获得广东省公安厅备案资格的证明文件）。</w:t>
      </w:r>
    </w:p>
    <w:p/>
    <w:p>
      <w:r>
        <w:rPr>
          <w:b/>
          <w:sz w:val="28"/>
        </w:rPr>
        <w:t>三.获取招标文件</w:t>
      </w:r>
    </w:p>
    <w:p>
      <w:pPr>
        <w:ind w:firstLine="480"/>
      </w:pPr>
      <w:r>
        <w:rPr/>
        <w:t>时间：详见招标公告及其变更公告（如有）</w:t>
      </w:r>
    </w:p>
    <w:p>
      <w:pPr>
        <w:ind w:firstLine="480"/>
      </w:pPr>
      <w:r>
        <w:rPr/>
        <w:t>地点：详见招标公告及其变更公告（如有）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ind w:firstLine="480"/>
      </w:pPr>
      <w:r>
        <w:rPr/>
        <w:t>售价：免费</w:t>
      </w:r>
    </w:p>
    <w:p>
      <w:r>
        <w:rPr>
          <w:b/>
          <w:sz w:val="28"/>
        </w:rPr>
        <w:t>四.提交投标文件截止时间、开标时间和地点：</w:t>
      </w:r>
    </w:p>
    <w:p>
      <w:pPr>
        <w:ind w:firstLine="480"/>
      </w:pPr>
      <w:r>
        <w:rPr/>
        <w:t>提交投标文件截止时间和开标时间：详见招标公告及其变更公告（如有）</w:t>
      </w:r>
    </w:p>
    <w:p>
      <w:pPr>
        <w:ind w:firstLine="480"/>
      </w:pPr>
      <w:r>
        <w:rPr/>
        <w:t>（自招标文件开始发出之日起至投标人提交投标文件截止之日止，不得少于20日）</w:t>
      </w:r>
    </w:p>
    <w:p>
      <w:pPr>
        <w:ind w:firstLine="480"/>
      </w:pPr>
      <w:r>
        <w:rPr/>
        <w:t>地点：详见招标公告及其变更公告（如有）</w:t>
      </w:r>
    </w:p>
    <w:p>
      <w:r>
        <w:rPr>
          <w:b/>
          <w:sz w:val="28"/>
        </w:rPr>
        <w:t>五.公告期限、发布公告的媒介：</w:t>
      </w:r>
    </w:p>
    <w:p>
      <w:pPr>
        <w:ind w:firstLine="480"/>
      </w:pPr>
      <w:r>
        <w:rPr/>
        <w:t>1、公告期限：自本公告发布之日起不得少于5个工作日。</w:t>
      </w:r>
    </w:p>
    <w:p>
      <w:pPr>
        <w:ind w:firstLine="480"/>
      </w:pPr>
      <w:r>
        <w:rPr/>
        <w:t>2、发布公告的媒介：中国政府采购网(www.ccgp.gov.cn)、广东省政府采购网(https://gdgpo.czt.gd.gov.cn/)；</w:t>
      </w:r>
    </w:p>
    <w:p>
      <w:r>
        <w:rPr>
          <w:b/>
          <w:sz w:val="28"/>
        </w:rPr>
        <w:t>六.本项目联系方式：</w:t>
      </w:r>
    </w:p>
    <w:p>
      <w:r>
        <w:rPr>
          <w:b/>
          <w:sz w:val="24"/>
        </w:rPr>
        <w:t>1.采购人信息</w:t>
      </w:r>
    </w:p>
    <w:p>
      <w:pPr>
        <w:ind w:firstLine="480"/>
      </w:pPr>
      <w:r>
        <w:rPr/>
        <w:t>名称：</w:t>
      </w:r>
      <w:r>
        <w:rPr/>
        <w:t>紫金县公安局</w:t>
      </w:r>
    </w:p>
    <w:p>
      <w:pPr>
        <w:ind w:firstLine="480"/>
      </w:pPr>
      <w:r>
        <w:rPr/>
        <w:t>地址：</w:t>
      </w:r>
      <w:r>
        <w:rPr/>
        <w:t>广东省河源市紫金县紫城镇香江中路30号</w:t>
      </w:r>
    </w:p>
    <w:p>
      <w:pPr>
        <w:ind w:firstLine="480"/>
      </w:pPr>
      <w:r>
        <w:rPr/>
        <w:t>联系方式：</w:t>
      </w:r>
      <w:r>
        <w:rPr/>
        <w:t>0762-7828064</w:t>
      </w:r>
    </w:p>
    <w:p>
      <w:r>
        <w:rPr>
          <w:b/>
          <w:sz w:val="24"/>
        </w:rPr>
        <w:t>2.采购代理机构信息</w:t>
      </w:r>
    </w:p>
    <w:p>
      <w:pPr>
        <w:ind w:firstLine="480"/>
      </w:pPr>
      <w:r>
        <w:rPr/>
        <w:t>名称：</w:t>
      </w:r>
      <w:r>
        <w:rPr/>
        <w:t>广东省华屹项目管理有限公司</w:t>
      </w:r>
    </w:p>
    <w:p>
      <w:pPr>
        <w:ind w:firstLine="480"/>
      </w:pPr>
      <w:r>
        <w:rPr/>
        <w:t>地址：</w:t>
      </w:r>
      <w:r>
        <w:rPr/>
        <w:t>广东省河源市市辖区河源市新市区长安街北边文昌路东面新河.世纪广场2101</w:t>
      </w:r>
    </w:p>
    <w:p>
      <w:pPr>
        <w:ind w:firstLine="480"/>
      </w:pPr>
      <w:r>
        <w:rPr/>
        <w:t>联系方式：</w:t>
      </w:r>
      <w:r>
        <w:rPr/>
        <w:t>0762-3369599</w:t>
      </w:r>
    </w:p>
    <w:p>
      <w:r>
        <w:rPr>
          <w:b/>
          <w:sz w:val="24"/>
        </w:rPr>
        <w:t>3.项目联系方式</w:t>
      </w:r>
    </w:p>
    <w:p>
      <w:pPr>
        <w:ind w:firstLine="480"/>
      </w:pPr>
      <w:r>
        <w:rPr/>
        <w:t>项目联系人：</w:t>
      </w:r>
      <w:r>
        <w:rPr/>
        <w:t>广东省华屹项目管理有限公司</w:t>
      </w:r>
    </w:p>
    <w:p>
      <w:pPr>
        <w:ind w:firstLine="480"/>
      </w:pPr>
      <w:r>
        <w:rPr/>
        <w:t>电话：</w:t>
      </w:r>
      <w:r>
        <w:rPr/>
        <w:t>0762-3369599</w:t>
      </w:r>
    </w:p>
    <w:p>
      <w:r>
        <w:rPr>
          <w:b/>
          <w:sz w:val="24"/>
        </w:rPr>
        <w:t>4.技术支持联系方式</w:t>
      </w:r>
    </w:p>
    <w:p>
      <w:pPr>
        <w:ind w:firstLine="480"/>
      </w:pPr>
      <w:r>
        <w:rPr/>
        <w:t>云平台联系方式：020-88696588</w:t>
      </w:r>
    </w:p>
    <w:p>
      <w:r>
        <w:rPr/>
        <w:t>采购代理机构：</w:t>
      </w:r>
      <w:r>
        <w:rPr/>
        <w:t>广东省华屹项目管理有限公司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pPr>
        <w:ind w:firstLine="420"/>
        <w:jc w:val="left"/>
      </w:pPr>
      <w:r>
        <w:rPr>
          <w:sz w:val="21"/>
        </w:rPr>
        <w:t>(一)本项目为：</w:t>
      </w:r>
      <w:r>
        <w:rPr>
          <w:sz w:val="21"/>
        </w:rPr>
        <w:t>紫金县平安乡村智慧视频项目</w:t>
      </w:r>
      <w:r>
        <w:rPr>
          <w:sz w:val="21"/>
        </w:rPr>
        <w:t>。</w:t>
      </w:r>
    </w:p>
    <w:p>
      <w:pPr>
        <w:ind w:firstLine="420"/>
        <w:jc w:val="left"/>
      </w:pPr>
      <w:r>
        <w:rPr>
          <w:sz w:val="21"/>
        </w:rPr>
        <w:t>(二)项目预算：人民币</w:t>
      </w:r>
      <w:r>
        <w:rPr>
          <w:sz w:val="21"/>
        </w:rPr>
        <w:t>4851920.12</w:t>
      </w:r>
      <w:r>
        <w:rPr>
          <w:sz w:val="21"/>
        </w:rPr>
        <w:t>元（含硬件建设费、服务租赁费</w:t>
      </w:r>
      <w:r>
        <w:rPr>
          <w:sz w:val="21"/>
        </w:rPr>
        <w:t>、</w:t>
      </w:r>
      <w:r>
        <w:rPr>
          <w:sz w:val="21"/>
        </w:rPr>
        <w:t>系统集成费等）</w:t>
      </w:r>
      <w:r>
        <w:rPr>
          <w:sz w:val="21"/>
        </w:rPr>
        <w:t>。</w:t>
      </w:r>
    </w:p>
    <w:p>
      <w:pPr>
        <w:ind w:firstLine="420"/>
        <w:jc w:val="left"/>
      </w:pPr>
      <w:r>
        <w:rPr>
          <w:sz w:val="21"/>
        </w:rPr>
        <w:t>(</w:t>
      </w:r>
      <w:r>
        <w:rPr>
          <w:sz w:val="21"/>
        </w:rPr>
        <w:t>三</w:t>
      </w:r>
      <w:r>
        <w:rPr>
          <w:sz w:val="21"/>
        </w:rPr>
        <w:t>)预</w:t>
      </w:r>
      <w:r>
        <w:rPr>
          <w:sz w:val="21"/>
        </w:rPr>
        <w:t>中标</w:t>
      </w:r>
      <w:r>
        <w:rPr>
          <w:sz w:val="21"/>
        </w:rPr>
        <w:t>供应商提供的货物、工程、服务须与投标</w:t>
      </w:r>
      <w:r>
        <w:rPr>
          <w:sz w:val="21"/>
        </w:rPr>
        <w:t>(响应)文件相符，否则视为虚假应标，取消</w:t>
      </w:r>
      <w:r>
        <w:rPr>
          <w:sz w:val="21"/>
        </w:rPr>
        <w:t>中标</w:t>
      </w:r>
      <w:r>
        <w:rPr>
          <w:sz w:val="21"/>
        </w:rPr>
        <w:t>资格，由此造成的损失，</w:t>
      </w:r>
      <w:r>
        <w:rPr>
          <w:sz w:val="21"/>
        </w:rPr>
        <w:t>投标人</w:t>
      </w:r>
      <w:r>
        <w:rPr>
          <w:sz w:val="21"/>
        </w:rPr>
        <w:t>自行承担。</w:t>
      </w:r>
    </w:p>
    <w:p>
      <w:pPr>
        <w:ind w:firstLine="420"/>
        <w:jc w:val="left"/>
      </w:pPr>
      <w:r>
        <w:rPr>
          <w:sz w:val="21"/>
        </w:rPr>
        <w:t>(</w:t>
      </w:r>
      <w:r>
        <w:rPr>
          <w:sz w:val="21"/>
        </w:rPr>
        <w:t>四</w:t>
      </w:r>
      <w:r>
        <w:rPr>
          <w:sz w:val="21"/>
        </w:rPr>
        <w:t>)</w:t>
      </w:r>
      <w:r>
        <w:rPr>
          <w:sz w:val="21"/>
        </w:rPr>
        <w:t>投标人</w:t>
      </w:r>
      <w:r>
        <w:rPr>
          <w:sz w:val="21"/>
        </w:rPr>
        <w:t>应对项目所有内容进行报价，不允许只对其中部分内容进行报价，否则其投标作为废标处理。</w:t>
      </w:r>
    </w:p>
    <w:p>
      <w:pPr>
        <w:ind w:firstLine="420"/>
        <w:jc w:val="left"/>
      </w:pPr>
      <w:r>
        <w:rPr>
          <w:sz w:val="21"/>
        </w:rPr>
        <w:t>(</w:t>
      </w:r>
      <w:r>
        <w:rPr>
          <w:sz w:val="21"/>
        </w:rPr>
        <w:t>五</w:t>
      </w:r>
      <w:r>
        <w:rPr>
          <w:sz w:val="21"/>
        </w:rPr>
        <w:t>)本项目采购标的所属行业：软件和信息技术服务业。</w:t>
      </w:r>
    </w:p>
    <w:p>
      <w:pPr>
        <w:ind w:firstLine="420"/>
        <w:jc w:val="left"/>
      </w:pPr>
      <w:r>
        <w:rPr>
          <w:sz w:val="21"/>
        </w:rPr>
        <w:t>(</w:t>
      </w:r>
      <w:r>
        <w:rPr>
          <w:sz w:val="21"/>
        </w:rPr>
        <w:t>六</w:t>
      </w:r>
      <w:r>
        <w:rPr>
          <w:sz w:val="21"/>
        </w:rPr>
        <w:t>)项目立项政策依据</w:t>
      </w:r>
    </w:p>
    <w:p>
      <w:pPr>
        <w:ind w:firstLine="420"/>
        <w:jc w:val="left"/>
      </w:pPr>
      <w:r>
        <w:rPr>
          <w:sz w:val="21"/>
        </w:rPr>
        <w:t>6.</w:t>
      </w:r>
      <w:r>
        <w:rPr>
          <w:sz w:val="21"/>
        </w:rPr>
        <w:t>1</w:t>
      </w:r>
      <w:r>
        <w:rPr>
          <w:sz w:val="21"/>
        </w:rPr>
        <w:t>、</w:t>
      </w:r>
      <w:r>
        <w:rPr>
          <w:sz w:val="21"/>
        </w:rPr>
        <w:t>政策依据</w:t>
      </w:r>
    </w:p>
    <w:p>
      <w:pPr>
        <w:ind w:firstLine="420"/>
        <w:jc w:val="left"/>
      </w:pPr>
      <w:r>
        <w:rPr>
          <w:sz w:val="21"/>
        </w:rPr>
        <w:t>2021年6月9日中共河源市委、河源市人民政府发文(关于印发河源市全面推进乡村振兴加快农业农村现代化的实施方案》的通知)(河委发电[2021]1号)。在文件中明确关于乡村公共服务、社会治理的要求：(二十二)完善提升乡村基础设施。坚持城乡基础设施建设一体化发展，着力推动各类基础设施进村入户到田。实施数字乡村发展工程，加强乡村公共服务、社会治理等数字化智能化建设。</w:t>
      </w:r>
    </w:p>
    <w:p>
      <w:pPr>
        <w:ind w:firstLine="420"/>
        <w:jc w:val="left"/>
      </w:pPr>
      <w:r>
        <w:rPr>
          <w:sz w:val="21"/>
        </w:rPr>
        <w:t>根据</w:t>
      </w:r>
      <w:r>
        <w:rPr>
          <w:sz w:val="21"/>
        </w:rPr>
        <w:t>(河委发电[2021]1号)的指示精神，2021年8月23日河源市公安局、中共河源市委农村工作办公室、河源市农业农村局、河源市乡村振兴局联合发文《关于开展平安乡村智慧视频建设工作的通知》(河公字[2021]151号)：以“共建、共治、共享”为理念，以高清化、智能化为标准，以镇为主体、行政村为单位统筹规范乡村公共安全视频监控建设，在全市所有乡村推广安装“和家园”智慧视频联网设备，构建信息化、智能化的乡村地区治安防控体系，提供“平安乡村”建设水平助力乡村振兴。</w:t>
      </w:r>
    </w:p>
    <w:p>
      <w:pPr>
        <w:ind w:firstLine="420"/>
        <w:jc w:val="left"/>
      </w:pPr>
      <w:r>
        <w:rPr>
          <w:sz w:val="21"/>
        </w:rPr>
        <w:t>6.</w:t>
      </w:r>
      <w:r>
        <w:rPr>
          <w:sz w:val="21"/>
        </w:rPr>
        <w:t>2</w:t>
      </w:r>
      <w:r>
        <w:rPr>
          <w:sz w:val="21"/>
        </w:rPr>
        <w:t>、</w:t>
      </w:r>
      <w:r>
        <w:rPr>
          <w:sz w:val="21"/>
        </w:rPr>
        <w:t>标准规范</w:t>
      </w:r>
    </w:p>
    <w:p>
      <w:pPr>
        <w:ind w:firstLine="562"/>
        <w:jc w:val="both"/>
      </w:pPr>
      <w:r>
        <w:rPr>
          <w:b/>
          <w:sz w:val="21"/>
        </w:rPr>
        <w:t>广东省视频监控系统设计方面：</w:t>
      </w:r>
    </w:p>
    <w:p>
      <w:pPr>
        <w:ind w:firstLine="480"/>
        <w:jc w:val="both"/>
      </w:pPr>
      <w:r>
        <w:rPr>
          <w:sz w:val="21"/>
        </w:rPr>
        <w:t>《公共区域智能视频采集设备布建规则》</w:t>
      </w:r>
      <w:r>
        <w:rPr>
          <w:sz w:val="21"/>
        </w:rPr>
        <w:t>(公安部科技信息化局)</w:t>
      </w:r>
    </w:p>
    <w:p>
      <w:pPr>
        <w:ind w:firstLine="480"/>
        <w:jc w:val="both"/>
      </w:pPr>
      <w:r>
        <w:rPr>
          <w:sz w:val="21"/>
        </w:rPr>
        <w:t>《广东省公安厅〈安全防范监控数字视音频编解码技术要求〉技术指引（试行）》（粤公通字〔</w:t>
      </w:r>
      <w:r>
        <w:rPr>
          <w:sz w:val="21"/>
        </w:rPr>
        <w:t>2014〕162号）</w:t>
      </w:r>
    </w:p>
    <w:p>
      <w:pPr>
        <w:ind w:firstLine="480"/>
        <w:jc w:val="both"/>
      </w:pPr>
      <w:r>
        <w:rPr>
          <w:sz w:val="21"/>
        </w:rPr>
        <w:t>《广东省安全技术防范管理条例》</w:t>
      </w:r>
    </w:p>
    <w:p>
      <w:pPr>
        <w:ind w:firstLine="480"/>
        <w:jc w:val="both"/>
      </w:pPr>
      <w:r>
        <w:rPr>
          <w:sz w:val="21"/>
        </w:rPr>
        <w:t>《高清视频系统建设技术指引》</w:t>
      </w:r>
    </w:p>
    <w:p>
      <w:pPr>
        <w:ind w:firstLine="480"/>
        <w:jc w:val="both"/>
      </w:pPr>
      <w:r>
        <w:rPr>
          <w:sz w:val="21"/>
        </w:rPr>
        <w:t>《广东省社会治安视频监控系统联网技术规范》</w:t>
      </w:r>
    </w:p>
    <w:p>
      <w:pPr>
        <w:ind w:firstLine="480"/>
        <w:jc w:val="both"/>
      </w:pPr>
      <w:r>
        <w:rPr>
          <w:sz w:val="21"/>
        </w:rPr>
        <w:t>《广东省公共安全视频图像信息系统管理办法》（广东省政府令第</w:t>
      </w:r>
      <w:r>
        <w:rPr>
          <w:sz w:val="21"/>
        </w:rPr>
        <w:t>132号）</w:t>
      </w:r>
    </w:p>
    <w:p>
      <w:pPr>
        <w:ind w:firstLine="480"/>
        <w:jc w:val="both"/>
      </w:pPr>
      <w:r>
        <w:rPr>
          <w:sz w:val="21"/>
        </w:rPr>
        <w:t>《广东省社会治安视频监控系统建设指引》</w:t>
      </w:r>
    </w:p>
    <w:p>
      <w:pPr>
        <w:ind w:firstLine="480"/>
        <w:jc w:val="both"/>
      </w:pPr>
      <w:r>
        <w:rPr>
          <w:sz w:val="21"/>
        </w:rPr>
        <w:t>《广东省社会治安视频监控系统数据传输技术规范》</w:t>
      </w:r>
    </w:p>
    <w:p>
      <w:pPr>
        <w:ind w:firstLine="480"/>
        <w:jc w:val="both"/>
      </w:pPr>
      <w:r>
        <w:rPr>
          <w:sz w:val="21"/>
        </w:rPr>
        <w:t>《省视频云服务接口应用规范》</w:t>
      </w:r>
    </w:p>
    <w:p>
      <w:pPr>
        <w:ind w:firstLine="562"/>
        <w:jc w:val="both"/>
      </w:pPr>
      <w:r>
        <w:rPr>
          <w:b/>
          <w:sz w:val="21"/>
        </w:rPr>
        <w:t>图像信息联网平台方面：</w:t>
      </w:r>
    </w:p>
    <w:p>
      <w:pPr>
        <w:ind w:firstLine="480"/>
        <w:jc w:val="both"/>
      </w:pPr>
      <w:r>
        <w:rPr>
          <w:sz w:val="21"/>
        </w:rPr>
        <w:t>《公共安全</w:t>
      </w:r>
      <w:r>
        <w:rPr>
          <w:sz w:val="21"/>
        </w:rPr>
        <w:t>视频监控</w:t>
      </w:r>
      <w:r>
        <w:rPr>
          <w:sz w:val="21"/>
        </w:rPr>
        <w:t>联网系统信息传输、交换、控制技术要求》（</w:t>
      </w:r>
      <w:r>
        <w:rPr>
          <w:sz w:val="21"/>
        </w:rPr>
        <w:t>GB/T28181-2016）</w:t>
      </w:r>
    </w:p>
    <w:p>
      <w:pPr>
        <w:ind w:firstLine="480"/>
        <w:jc w:val="both"/>
      </w:pPr>
      <w:r>
        <w:rPr>
          <w:sz w:val="21"/>
        </w:rPr>
        <w:t>《公安信息通信网边界接入平台安全规范（试行）</w:t>
      </w:r>
      <w:r>
        <w:rPr>
          <w:sz w:val="21"/>
        </w:rPr>
        <w:t>——视频接入部分》</w:t>
      </w:r>
    </w:p>
    <w:p>
      <w:pPr>
        <w:ind w:firstLine="480"/>
        <w:jc w:val="both"/>
      </w:pPr>
      <w:r>
        <w:rPr>
          <w:sz w:val="21"/>
        </w:rPr>
        <w:t>《公共安全视频监控数字视音频编解码技术要求》（</w:t>
      </w:r>
      <w:r>
        <w:rPr>
          <w:sz w:val="21"/>
        </w:rPr>
        <w:t>GB/T</w:t>
      </w:r>
      <w:r>
        <w:rPr>
          <w:sz w:val="21"/>
        </w:rPr>
        <w:t xml:space="preserve"> </w:t>
      </w:r>
      <w:r>
        <w:rPr>
          <w:sz w:val="21"/>
        </w:rPr>
        <w:t>25724-2017）</w:t>
      </w:r>
    </w:p>
    <w:p>
      <w:pPr>
        <w:ind w:firstLine="480"/>
        <w:jc w:val="both"/>
      </w:pPr>
      <w:r>
        <w:rPr>
          <w:sz w:val="21"/>
        </w:rPr>
        <w:t>《</w:t>
      </w:r>
      <w:r>
        <w:rPr>
          <w:sz w:val="21"/>
        </w:rPr>
        <w:t>公共安全人脸识别应用图像技术要求</w:t>
      </w:r>
      <w:r>
        <w:rPr>
          <w:sz w:val="21"/>
        </w:rPr>
        <w:t>》</w:t>
      </w:r>
      <w:r>
        <w:rPr>
          <w:sz w:val="21"/>
        </w:rPr>
        <w:t>（</w:t>
      </w:r>
      <w:r>
        <w:rPr>
          <w:sz w:val="21"/>
        </w:rPr>
        <w:t>GB/T 35678-2017）</w:t>
      </w:r>
    </w:p>
    <w:p>
      <w:pPr>
        <w:ind w:firstLine="562"/>
        <w:jc w:val="both"/>
      </w:pPr>
      <w:r>
        <w:rPr>
          <w:b/>
          <w:sz w:val="21"/>
        </w:rPr>
        <w:t>安防视频监控系统方面：</w:t>
      </w:r>
    </w:p>
    <w:p>
      <w:pPr>
        <w:ind w:firstLine="480"/>
        <w:jc w:val="both"/>
      </w:pPr>
      <w:r>
        <w:rPr>
          <w:sz w:val="21"/>
        </w:rPr>
        <w:t>《安全防范工程建设与维护保养费用预算编制办法》（</w:t>
      </w:r>
      <w:r>
        <w:rPr>
          <w:sz w:val="21"/>
        </w:rPr>
        <w:t>GA/T 70-2014）</w:t>
      </w:r>
    </w:p>
    <w:p>
      <w:pPr>
        <w:ind w:firstLine="480"/>
        <w:jc w:val="both"/>
      </w:pPr>
      <w:r>
        <w:rPr>
          <w:sz w:val="21"/>
        </w:rPr>
        <w:t>《视频安防监控系统技术要求》（</w:t>
      </w:r>
      <w:r>
        <w:rPr>
          <w:sz w:val="21"/>
        </w:rPr>
        <w:t>GA/T</w:t>
      </w:r>
      <w:r>
        <w:rPr>
          <w:sz w:val="21"/>
        </w:rPr>
        <w:t xml:space="preserve"> </w:t>
      </w:r>
      <w:r>
        <w:rPr>
          <w:sz w:val="21"/>
        </w:rPr>
        <w:t>367-2001）</w:t>
      </w:r>
    </w:p>
    <w:p>
      <w:pPr>
        <w:ind w:firstLine="480"/>
        <w:jc w:val="both"/>
      </w:pPr>
      <w:r>
        <w:rPr>
          <w:sz w:val="21"/>
        </w:rPr>
        <w:t>《综合布线系统工程设计规范》（</w:t>
      </w:r>
      <w:r>
        <w:rPr>
          <w:sz w:val="21"/>
        </w:rPr>
        <w:t>GB 50311-2016）</w:t>
      </w:r>
    </w:p>
    <w:p>
      <w:pPr>
        <w:ind w:firstLine="480"/>
        <w:jc w:val="both"/>
      </w:pPr>
      <w:r>
        <w:rPr>
          <w:sz w:val="21"/>
        </w:rPr>
        <w:t>《公共安全视频监控数字视音频编解码技术要求》</w:t>
      </w:r>
      <w:r>
        <w:rPr>
          <w:sz w:val="21"/>
        </w:rPr>
        <w:t>(GB/T</w:t>
      </w:r>
      <w:r>
        <w:rPr>
          <w:sz w:val="21"/>
        </w:rPr>
        <w:t xml:space="preserve"> </w:t>
      </w:r>
      <w:r>
        <w:rPr>
          <w:sz w:val="21"/>
        </w:rPr>
        <w:t>25724-2017)</w:t>
      </w:r>
    </w:p>
    <w:p>
      <w:pPr>
        <w:ind w:firstLine="480"/>
        <w:jc w:val="both"/>
      </w:pPr>
      <w:r>
        <w:rPr>
          <w:sz w:val="21"/>
        </w:rPr>
        <w:t>《视频图像文字标注</w:t>
      </w:r>
      <w:r>
        <w:rPr>
          <w:sz w:val="21"/>
        </w:rPr>
        <w:t>规范</w:t>
      </w:r>
      <w:r>
        <w:rPr>
          <w:sz w:val="21"/>
        </w:rPr>
        <w:t>》（</w:t>
      </w:r>
      <w:r>
        <w:rPr>
          <w:sz w:val="21"/>
        </w:rPr>
        <w:t>GA/T</w:t>
      </w:r>
      <w:r>
        <w:rPr>
          <w:sz w:val="21"/>
        </w:rPr>
        <w:t xml:space="preserve"> </w:t>
      </w:r>
      <w:r>
        <w:rPr>
          <w:sz w:val="21"/>
        </w:rPr>
        <w:t>751-2008）</w:t>
      </w:r>
    </w:p>
    <w:p>
      <w:pPr>
        <w:ind w:firstLine="480"/>
        <w:jc w:val="both"/>
      </w:pPr>
      <w:r>
        <w:rPr>
          <w:sz w:val="21"/>
        </w:rPr>
        <w:t>《</w:t>
      </w:r>
      <w:r>
        <w:rPr>
          <w:sz w:val="21"/>
        </w:rPr>
        <w:t>安防人脸识别应用视频人脸图像提取技术要求</w:t>
      </w:r>
      <w:r>
        <w:rPr>
          <w:sz w:val="21"/>
        </w:rPr>
        <w:t>》（</w:t>
      </w:r>
      <w:r>
        <w:rPr>
          <w:sz w:val="21"/>
        </w:rPr>
        <w:t>GA/T 1334-2016）</w:t>
      </w:r>
    </w:p>
    <w:p>
      <w:pPr>
        <w:ind w:firstLine="562"/>
        <w:jc w:val="both"/>
      </w:pPr>
      <w:r>
        <w:rPr>
          <w:b/>
          <w:sz w:val="21"/>
        </w:rPr>
        <w:t>视频系统网络设计方面：</w:t>
      </w:r>
    </w:p>
    <w:p>
      <w:pPr>
        <w:ind w:firstLine="480"/>
        <w:jc w:val="both"/>
      </w:pPr>
      <w:r>
        <w:rPr>
          <w:sz w:val="21"/>
        </w:rPr>
        <w:t>《信息技术开放系统互连网络层安全协议》（</w:t>
      </w:r>
      <w:r>
        <w:rPr>
          <w:sz w:val="21"/>
        </w:rPr>
        <w:t>GB/T 17963-2000）</w:t>
      </w:r>
    </w:p>
    <w:p>
      <w:pPr>
        <w:ind w:firstLine="480"/>
        <w:jc w:val="both"/>
      </w:pPr>
      <w:r>
        <w:rPr>
          <w:sz w:val="21"/>
        </w:rPr>
        <w:t>《计算机信息系统安全产品部件</w:t>
      </w:r>
      <w:r>
        <w:rPr>
          <w:sz w:val="21"/>
        </w:rPr>
        <w:t>第</w:t>
      </w:r>
      <w:r>
        <w:rPr>
          <w:sz w:val="21"/>
        </w:rPr>
        <w:t>1部分：安全功能检测》（GA 216.1－1999）</w:t>
      </w:r>
    </w:p>
    <w:p>
      <w:pPr>
        <w:ind w:firstLine="562"/>
        <w:jc w:val="both"/>
      </w:pPr>
      <w:r>
        <w:rPr>
          <w:b/>
          <w:sz w:val="21"/>
        </w:rPr>
        <w:t>视频系统工程建设方面：</w:t>
      </w:r>
    </w:p>
    <w:p>
      <w:pPr>
        <w:ind w:firstLine="480"/>
        <w:jc w:val="both"/>
      </w:pPr>
      <w:r>
        <w:rPr>
          <w:sz w:val="21"/>
        </w:rPr>
        <w:t>《安全防范工程程序与要求》（</w:t>
      </w:r>
      <w:r>
        <w:rPr>
          <w:sz w:val="21"/>
        </w:rPr>
        <w:t>GA/T</w:t>
      </w:r>
      <w:r>
        <w:rPr>
          <w:sz w:val="21"/>
        </w:rPr>
        <w:t xml:space="preserve"> </w:t>
      </w:r>
      <w:r>
        <w:rPr>
          <w:sz w:val="21"/>
        </w:rPr>
        <w:t>75</w:t>
      </w:r>
      <w:r>
        <w:rPr>
          <w:sz w:val="21"/>
        </w:rPr>
        <w:t>-1994</w:t>
      </w:r>
      <w:r>
        <w:rPr>
          <w:sz w:val="21"/>
        </w:rPr>
        <w:t>）</w:t>
      </w:r>
    </w:p>
    <w:p>
      <w:pPr>
        <w:ind w:firstLine="480"/>
        <w:jc w:val="both"/>
      </w:pPr>
      <w:r>
        <w:rPr>
          <w:sz w:val="21"/>
        </w:rPr>
        <w:t>《安全防范工程技术标准》</w:t>
      </w:r>
      <w:r>
        <w:rPr>
          <w:sz w:val="21"/>
        </w:rPr>
        <w:t>(GB 50348-2018)</w:t>
      </w:r>
    </w:p>
    <w:p>
      <w:pPr>
        <w:ind w:firstLine="480"/>
        <w:jc w:val="both"/>
      </w:pPr>
      <w:r>
        <w:rPr>
          <w:sz w:val="21"/>
        </w:rPr>
        <w:t>《安全防范系统雷电浪涌防护技术要求》</w:t>
      </w:r>
      <w:r>
        <w:rPr>
          <w:sz w:val="21"/>
        </w:rPr>
        <w:t>(GA/T</w:t>
      </w:r>
      <w:r>
        <w:rPr>
          <w:sz w:val="21"/>
        </w:rPr>
        <w:t xml:space="preserve"> </w:t>
      </w:r>
      <w:r>
        <w:rPr>
          <w:sz w:val="21"/>
        </w:rPr>
        <w:t>670-2006)</w:t>
      </w:r>
    </w:p>
    <w:p>
      <w:pPr>
        <w:ind w:firstLine="480"/>
        <w:jc w:val="both"/>
      </w:pPr>
      <w:r>
        <w:rPr>
          <w:sz w:val="21"/>
        </w:rPr>
        <w:t>《安全防范系统通用图形符号》</w:t>
      </w:r>
      <w:r>
        <w:rPr>
          <w:sz w:val="21"/>
        </w:rPr>
        <w:t>(GA/T</w:t>
      </w:r>
      <w:r>
        <w:rPr>
          <w:sz w:val="21"/>
        </w:rPr>
        <w:t xml:space="preserve"> </w:t>
      </w:r>
      <w:r>
        <w:rPr>
          <w:sz w:val="21"/>
        </w:rPr>
        <w:t>74-2017)</w:t>
      </w:r>
    </w:p>
    <w:p>
      <w:pPr>
        <w:ind w:firstLine="562"/>
        <w:jc w:val="both"/>
      </w:pPr>
      <w:r>
        <w:rPr>
          <w:b/>
          <w:sz w:val="21"/>
        </w:rPr>
        <w:t>视频系统工程验收方面：</w:t>
      </w:r>
    </w:p>
    <w:p>
      <w:pPr>
        <w:ind w:firstLine="480"/>
        <w:jc w:val="both"/>
      </w:pPr>
      <w:r>
        <w:rPr>
          <w:sz w:val="21"/>
        </w:rPr>
        <w:t>《安全防范系统验收规则》</w:t>
      </w:r>
      <w:r>
        <w:rPr>
          <w:sz w:val="21"/>
        </w:rPr>
        <w:t>(GA</w:t>
      </w:r>
      <w:r>
        <w:rPr>
          <w:sz w:val="21"/>
        </w:rPr>
        <w:t xml:space="preserve"> </w:t>
      </w:r>
      <w:r>
        <w:rPr>
          <w:sz w:val="21"/>
        </w:rPr>
        <w:t>308-2001)</w:t>
      </w:r>
    </w:p>
    <w:p>
      <w:pPr>
        <w:ind w:firstLine="480"/>
        <w:jc w:val="both"/>
      </w:pPr>
      <w:r>
        <w:rPr>
          <w:sz w:val="21"/>
        </w:rPr>
        <w:t>《电气装置安装工程施工及验收规范》（</w:t>
      </w:r>
      <w:r>
        <w:rPr>
          <w:sz w:val="21"/>
        </w:rPr>
        <w:t>GB 50254-2014）</w:t>
      </w:r>
    </w:p>
    <w:p>
      <w:pPr>
        <w:ind w:firstLine="480"/>
        <w:jc w:val="both"/>
      </w:pPr>
      <w:r>
        <w:rPr>
          <w:sz w:val="21"/>
        </w:rPr>
        <w:t>《综合布线系统工程验收规范》</w:t>
      </w:r>
      <w:r>
        <w:rPr>
          <w:sz w:val="21"/>
        </w:rPr>
        <w:t>(GB/T</w:t>
      </w:r>
      <w:r>
        <w:rPr>
          <w:sz w:val="21"/>
        </w:rPr>
        <w:t xml:space="preserve"> </w:t>
      </w:r>
      <w:r>
        <w:rPr>
          <w:sz w:val="21"/>
        </w:rPr>
        <w:t>50312-2016)</w:t>
      </w:r>
    </w:p>
    <w:p>
      <w:pPr>
        <w:ind w:firstLine="480"/>
        <w:jc w:val="both"/>
      </w:pPr>
      <w:r>
        <w:rPr>
          <w:sz w:val="21"/>
        </w:rPr>
        <w:t>《电气装置安装工程电缆线路施工及验收规范》（</w:t>
      </w:r>
      <w:r>
        <w:rPr>
          <w:sz w:val="21"/>
        </w:rPr>
        <w:t>GB</w:t>
      </w:r>
      <w:r>
        <w:rPr>
          <w:sz w:val="21"/>
        </w:rPr>
        <w:t xml:space="preserve"> </w:t>
      </w:r>
      <w:r>
        <w:rPr>
          <w:sz w:val="21"/>
        </w:rPr>
        <w:t>50168-20</w:t>
      </w:r>
      <w:r>
        <w:rPr>
          <w:sz w:val="21"/>
        </w:rPr>
        <w:t>18</w:t>
      </w:r>
      <w:r>
        <w:rPr>
          <w:sz w:val="21"/>
        </w:rPr>
        <w:t>）</w:t>
      </w:r>
    </w:p>
    <w:p>
      <w:pPr>
        <w:ind w:firstLine="562"/>
        <w:jc w:val="both"/>
      </w:pPr>
      <w:r>
        <w:rPr>
          <w:b/>
          <w:sz w:val="21"/>
        </w:rPr>
        <w:t>通信行业标准方面：</w:t>
      </w:r>
    </w:p>
    <w:p>
      <w:pPr>
        <w:ind w:firstLine="480"/>
        <w:jc w:val="both"/>
      </w:pPr>
      <w:r>
        <w:rPr>
          <w:sz w:val="21"/>
        </w:rPr>
        <w:t>中华人民共和国通信行业标准</w:t>
      </w:r>
      <w:r>
        <w:rPr>
          <w:sz w:val="21"/>
        </w:rPr>
        <w:t>YD/T 5117-2016《宽带IP城域网工程设计规范》及其强制性条文</w:t>
      </w:r>
    </w:p>
    <w:p>
      <w:pPr>
        <w:ind w:firstLine="480"/>
        <w:jc w:val="both"/>
      </w:pPr>
      <w:r>
        <w:rPr>
          <w:sz w:val="21"/>
        </w:rPr>
        <w:t>中华人民共和国通信行业标准</w:t>
      </w:r>
      <w:r>
        <w:rPr>
          <w:sz w:val="21"/>
        </w:rPr>
        <w:t>YD/T 5181-2009《宽带IP城域网工程验收暂行规定》及其强制性条文</w:t>
      </w:r>
    </w:p>
    <w:p>
      <w:pPr>
        <w:ind w:firstLine="480"/>
        <w:jc w:val="both"/>
      </w:pPr>
      <w:r>
        <w:rPr>
          <w:sz w:val="21"/>
        </w:rPr>
        <w:t>中华人民共和国住房和城乡建设部</w:t>
      </w:r>
      <w:r>
        <w:rPr>
          <w:sz w:val="21"/>
        </w:rPr>
        <w:t>GB 51194-2016《通信电源设备安装工程设计规范》及其强制性条文</w:t>
      </w:r>
    </w:p>
    <w:p>
      <w:pPr>
        <w:ind w:firstLine="480"/>
      </w:pPr>
      <w:r>
        <w:rPr>
          <w:color w:val="000000"/>
          <w:sz w:val="21"/>
        </w:rPr>
        <w:t>中华人民共和国通信行业标准</w:t>
      </w:r>
      <w:r>
        <w:rPr>
          <w:color w:val="000000"/>
          <w:sz w:val="21"/>
        </w:rPr>
        <w:t>YD 5201-2014《通信建设工程安全生产操作规范》及其强制性条文。</w:t>
      </w:r>
    </w:p>
    <w:p>
      <w:pPr>
        <w:ind w:firstLine="422"/>
        <w:jc w:val="both"/>
      </w:pPr>
      <w:r>
        <w:rPr>
          <w:b/>
          <w:sz w:val="21"/>
        </w:rPr>
        <w:t>（七）项目整体框架</w:t>
      </w:r>
    </w:p>
    <w:p>
      <w:pPr>
        <w:ind w:firstLine="482"/>
      </w:pPr>
      <w:r>
        <w:rPr>
          <w:sz w:val="21"/>
        </w:rPr>
        <w:t>本项目为接入公安局视频专网视频云</w:t>
      </w:r>
      <w:r>
        <w:rPr>
          <w:sz w:val="21"/>
        </w:rPr>
        <w:t>+应用系统，不涉及新建业务、应用平台。</w:t>
      </w:r>
    </w:p>
    <w:p>
      <w:pPr>
        <w:ind w:firstLine="482"/>
      </w:pPr>
      <w:r>
        <w:rPr>
          <w:sz w:val="21"/>
        </w:rPr>
        <w:t>公安局视频云</w:t>
      </w:r>
      <w:r>
        <w:rPr>
          <w:sz w:val="21"/>
        </w:rPr>
        <w:t>+应用系统整体框架为“四网两级”架构，四网为“互联网、政务外网、视频专网、公安网”，两级为市、区/县两级。其中，视频云平台采用“双网双平台”的体系，分别在视频专网和公安内网进行视频云建设，整体架构如下：</w:t>
      </w:r>
    </w:p>
    <w:p>
      <w:pPr>
        <w:ind w:firstLine="480"/>
      </w:pPr>
      <w:r>
        <w:rPr>
          <w:b/>
          <w:sz w:val="21"/>
        </w:rPr>
        <w:t>7.1整体架构自下而上分为：</w:t>
      </w:r>
    </w:p>
    <w:p>
      <w:r>
        <w:rPr>
          <w:sz w:val="21"/>
        </w:rPr>
        <w:t>1）</w:t>
      </w:r>
      <w:r>
        <w:rPr>
          <w:sz w:val="21"/>
        </w:rPr>
        <w:t>前端接入层</w:t>
      </w:r>
    </w:p>
    <w:p>
      <w:pPr>
        <w:ind w:firstLine="480"/>
      </w:pPr>
      <w:r>
        <w:rPr>
          <w:sz w:val="21"/>
        </w:rPr>
        <w:t>河源市公安局建设的高清一类点、人脸卡口以及车辆卡口全部采用</w:t>
      </w:r>
      <w:r>
        <w:rPr>
          <w:sz w:val="21"/>
        </w:rPr>
        <w:t>IP高清摄像机建设。本项目主要是建设735路平安乡村智慧监控摄像机。</w:t>
      </w:r>
    </w:p>
    <w:p>
      <w:r>
        <w:rPr>
          <w:sz w:val="21"/>
        </w:rPr>
        <w:t>2）</w:t>
      </w:r>
      <w:r>
        <w:rPr>
          <w:sz w:val="21"/>
        </w:rPr>
        <w:t>网络传输层</w:t>
      </w:r>
    </w:p>
    <w:p>
      <w:pPr>
        <w:ind w:firstLine="480"/>
      </w:pPr>
      <w:r>
        <w:rPr>
          <w:sz w:val="21"/>
        </w:rPr>
        <w:t>主要包含保障前端接入层数据传输所需的光缆及基础建设。</w:t>
      </w:r>
    </w:p>
    <w:p>
      <w:pPr>
        <w:ind w:firstLine="480"/>
      </w:pPr>
      <w:r>
        <w:rPr>
          <w:sz w:val="21"/>
        </w:rPr>
        <w:t>（</w:t>
      </w:r>
      <w:r>
        <w:rPr>
          <w:sz w:val="21"/>
        </w:rPr>
        <w:t>1）前端监控点位的视频图像信息，通过运营商光网络将视频图像信息传输至公安局的核心交换机。</w:t>
      </w:r>
    </w:p>
    <w:p>
      <w:pPr>
        <w:ind w:firstLine="480"/>
      </w:pPr>
      <w:r>
        <w:rPr>
          <w:sz w:val="21"/>
        </w:rPr>
        <w:t>（</w:t>
      </w:r>
      <w:r>
        <w:rPr>
          <w:sz w:val="21"/>
        </w:rPr>
        <w:t>2）视频图像信息在各区县公安局的汇聚交换机汇聚，通过运营商光网络将视频图像信息传输至河源市公安局数据中心机房的核心交换机。</w:t>
      </w:r>
    </w:p>
    <w:p>
      <w:r>
        <w:rPr>
          <w:sz w:val="21"/>
        </w:rPr>
        <w:t>3）</w:t>
      </w:r>
      <w:r>
        <w:rPr>
          <w:sz w:val="21"/>
        </w:rPr>
        <w:t>市局平台管理层</w:t>
      </w:r>
    </w:p>
    <w:p>
      <w:pPr>
        <w:ind w:firstLine="480"/>
      </w:pPr>
      <w:r>
        <w:rPr>
          <w:sz w:val="21"/>
        </w:rPr>
        <w:t>（</w:t>
      </w:r>
      <w:r>
        <w:rPr>
          <w:sz w:val="21"/>
        </w:rPr>
        <w:t>1）视频专网：前端数据在各区县公安局进行汇聚后送至市局。在市局中心机房已建设视频专网核心交换机，视频云平台部署在市局中心机房，包含：IaaS基础设施、一机一档系统、视频运维系统、多维信息接入平台/联网共享平台（扩容）、智能视觉中心、视频图像信息数据库、应用支撑平台、视频云应用系统（基础应用+APP应用），建设视频云存储系统(存储大图、小图、结构化数据90天，高清视频存储30天，反恐点位存储90天)以及安全接入管理系统设备。视频图像信息在视频专网云平台做基础的分析处理生成结构化信息，分析后的结构化数据通过安全边界送入公安网视频云平台做专业应用处理。</w:t>
      </w:r>
    </w:p>
    <w:p>
      <w:pPr>
        <w:jc w:val="both"/>
      </w:pPr>
      <w:r>
        <w:drawing>
          <wp:inline distT="0" distR="0" distB="0" distL="0">
            <wp:extent cx="5274310" cy="3324225"/>
            <wp:docPr id="1" name="Drawing 1" descr="img"/>
            <a:graphic xmlns:a="http://schemas.openxmlformats.org/drawingml/2006/main">
              <a:graphicData uri="http://schemas.openxmlformats.org/drawingml/2006/picture">
                <pic:pic xmlns:pic="http://schemas.openxmlformats.org/drawingml/2006/picture">
                  <pic:nvPicPr>
                    <pic:cNvPr id="0" name="Picture 1" descr="img"/>
                    <pic:cNvPicPr>
                      <a:picLocks noChangeAspect="true"/>
                    </pic:cNvPicPr>
                  </pic:nvPicPr>
                  <pic:blipFill>
                    <a:blip r:embed="rId6"/>
                    <a:stretch>
                      <a:fillRect/>
                    </a:stretch>
                  </pic:blipFill>
                  <pic:spPr>
                    <a:xfrm>
                      <a:off x="0" y="0"/>
                      <a:ext cx="5274310" cy="3324225"/>
                    </a:xfrm>
                    <a:prstGeom prst="rect">
                      <a:avLst/>
                    </a:prstGeom>
                  </pic:spPr>
                </pic:pic>
              </a:graphicData>
            </a:graphic>
          </wp:inline>
        </w:drawing>
      </w:r>
    </w:p>
    <w:p>
      <w:pPr>
        <w:ind w:firstLine="482"/>
      </w:pPr>
      <w:r>
        <w:rPr>
          <w:sz w:val="21"/>
        </w:rPr>
        <w:t>（</w:t>
      </w:r>
      <w:r>
        <w:rPr>
          <w:sz w:val="21"/>
        </w:rPr>
        <w:t>2）公安网：分析后的结构化数据在视频专网做技术分析处理后，通过安全边界摆渡至公安网视频云平台。分析后的结构化数据在公安网视频云平台根据不同业务场景进行专业化应用。在市局中心机房已建设公安网核心交换机，公安网视频云平台部署在市局中心机房，包含：IaaS基础设施、一机一档系统、多维信息接入平台/视频联网平台（扩容）、视频图像信息数据库、智能视觉中心、应用支撑平台、视频云应用系统（基础应用+深化应用），结构化数据的存储（结构化数据、小图、大图和涉案视图，其中大图URL存储90天(大图数据仅在视频专网存储，公安网按需通过安全边界调阅)，小图和结构化数据存储1年）、以及安全接入管理系统设备。</w:t>
      </w:r>
    </w:p>
    <w:p>
      <w:pPr>
        <w:ind w:firstLine="482"/>
      </w:pPr>
      <w:r>
        <w:rPr>
          <w:b/>
          <w:sz w:val="21"/>
        </w:rPr>
        <w:t>7.2系统架构</w:t>
      </w:r>
    </w:p>
    <w:p>
      <w:pPr>
        <w:ind w:firstLine="482"/>
      </w:pPr>
      <w:r>
        <w:rPr>
          <w:sz w:val="21"/>
        </w:rPr>
        <w:t>本项目依托河源市紫金县雪亮平台、和家园平台为基础，通过建设</w:t>
      </w:r>
      <w:r>
        <w:rPr>
          <w:sz w:val="21"/>
        </w:rPr>
        <w:t>735路人全结构化视频监控系统，利用人脸识别、车辆识别等技术实现对进出上述场所的车辆、人员信息的智能采集，通过新增视频监控接入点解决现有视频监控系统存在的不足，进一步加强治安防控、打击犯罪、服务城市管理、创新社会治理。</w:t>
      </w:r>
    </w:p>
    <w:p>
      <w:pPr>
        <w:ind w:firstLine="482"/>
      </w:pPr>
      <w:r>
        <w:rPr>
          <w:sz w:val="21"/>
        </w:rPr>
        <w:t>前端视频监控采用和家园方式进行建设，新增摄像头视频流通过互联网接入视频云平台，视频云平台通过国标对接网关与部署在政务云的紫金雪亮工程平台进行对接，将视频推送至紫金雪亮工程平台提供给紫金政法委。同时将视频流通过市局建设的视频边界平台推送至视频专网。</w:t>
      </w:r>
    </w:p>
    <w:p>
      <w:pPr>
        <w:ind w:firstLine="482"/>
      </w:pPr>
      <w:r>
        <w:rPr>
          <w:sz w:val="21"/>
        </w:rPr>
        <w:t>人脸、车辆图片流通过互联网接入视频云平台，通过视频云平台与和家园平台对接（和家园项目已完成对接），将图片数据推送至和家园平台，利旧和家园平台将人脸、车辆图片传送至河源市公安局建设的视频专网视图库系统进行统一存储，再由公安网的智能视觉解析中心平台进行应用，紫金政法委通过县公安局的公安网进行人脸数据查询应用。人脸数据应用中由本项目提供算法授权服务，由河源市公安局、紫金县公安局提供解析算力、图片存储、应用系统。</w:t>
      </w:r>
    </w:p>
    <w:p>
      <w:pPr>
        <w:ind w:firstLine="482"/>
      </w:pPr>
      <w:r>
        <w:rPr>
          <w:sz w:val="21"/>
        </w:rPr>
        <w:t>监控视频采用视频云方式存储，通过云存储对新增人脸识别摄像机的视频流进行存储，人脸抓拍图片通过和家园方式传送至河源市公安局视图库系统进行存储。</w:t>
      </w:r>
    </w:p>
    <w:p>
      <w:pPr>
        <w:ind w:firstLine="482"/>
      </w:pPr>
      <w:r>
        <w:rPr>
          <w:b/>
          <w:sz w:val="21"/>
        </w:rPr>
        <w:t>系统架构如下：</w:t>
      </w:r>
    </w:p>
    <w:p>
      <w:pPr>
        <w:jc w:val="both"/>
      </w:pPr>
      <w:r>
        <w:drawing>
          <wp:inline distT="0" distR="0" distB="0" distL="0">
            <wp:extent cx="4876800" cy="4219575"/>
            <wp:docPr id="2" name="Drawing 2" descr="img"/>
            <a:graphic xmlns:a="http://schemas.openxmlformats.org/drawingml/2006/main">
              <a:graphicData uri="http://schemas.openxmlformats.org/drawingml/2006/picture">
                <pic:pic xmlns:pic="http://schemas.openxmlformats.org/drawingml/2006/picture">
                  <pic:nvPicPr>
                    <pic:cNvPr id="0" name="Picture 2" descr="img"/>
                    <pic:cNvPicPr>
                      <a:picLocks noChangeAspect="true"/>
                    </pic:cNvPicPr>
                  </pic:nvPicPr>
                  <pic:blipFill>
                    <a:blip r:embed="rId7"/>
                    <a:stretch>
                      <a:fillRect/>
                    </a:stretch>
                  </pic:blipFill>
                  <pic:spPr>
                    <a:xfrm>
                      <a:off x="0" y="0"/>
                      <a:ext cx="4876800" cy="4219575"/>
                    </a:xfrm>
                    <a:prstGeom prst="rect">
                      <a:avLst/>
                    </a:prstGeom>
                  </pic:spPr>
                </pic:pic>
              </a:graphicData>
            </a:graphic>
          </wp:inline>
        </w:drawing>
      </w:r>
    </w:p>
    <w:p>
      <w:pPr>
        <w:ind w:firstLine="422"/>
        <w:jc w:val="both"/>
      </w:pPr>
      <w:r>
        <w:rPr>
          <w:b/>
          <w:sz w:val="21"/>
        </w:rPr>
        <w:t>（八）</w:t>
      </w:r>
      <w:r>
        <w:rPr>
          <w:b/>
          <w:sz w:val="21"/>
        </w:rPr>
        <w:t>建设内容</w:t>
      </w:r>
    </w:p>
    <w:p>
      <w:pPr>
        <w:ind w:firstLine="422"/>
        <w:jc w:val="left"/>
      </w:pPr>
      <w:r>
        <w:rPr>
          <w:b/>
          <w:sz w:val="21"/>
        </w:rPr>
        <w:t>8.1</w:t>
      </w:r>
      <w:r>
        <w:rPr>
          <w:b/>
          <w:sz w:val="21"/>
        </w:rPr>
        <w:t>具体点位</w:t>
      </w:r>
    </w:p>
    <w:p>
      <w:pPr>
        <w:ind w:firstLine="420"/>
        <w:jc w:val="left"/>
      </w:pPr>
      <w:r>
        <w:rPr>
          <w:sz w:val="21"/>
        </w:rPr>
        <w:t>根据监控点位功能需求以及安装位置要求，布建点位是因注意避开遮挡物，给予摄像机一个开阔的监控视野。在前端点位布局时，要在地图上围防控区域进行标注设计，并根据不同时期的防控需求进行布点，按结果进行前端点位布局的动态调整。</w:t>
      </w:r>
    </w:p>
    <w:p>
      <w:pPr>
        <w:ind w:firstLine="420"/>
        <w:jc w:val="left"/>
      </w:pPr>
      <w:r>
        <w:rPr>
          <w:sz w:val="21"/>
        </w:rPr>
        <w:t>本项目要求覆盖整个紫金县各村必经路口、人口密集区域，采集人脸、车辆相关信息。本项目在紫金县</w:t>
      </w:r>
      <w:r>
        <w:rPr>
          <w:sz w:val="21"/>
        </w:rPr>
        <w:t>245个行政村建设735个智慧视频监控摄像机，具体点位详见附件。</w:t>
      </w:r>
    </w:p>
    <w:p>
      <w:pPr>
        <w:ind w:firstLine="422"/>
        <w:jc w:val="left"/>
      </w:pPr>
      <w:r>
        <w:rPr>
          <w:b/>
          <w:sz w:val="21"/>
        </w:rPr>
        <w:t>8.2</w:t>
      </w:r>
      <w:r>
        <w:rPr>
          <w:b/>
          <w:sz w:val="21"/>
        </w:rPr>
        <w:t>建设内容</w:t>
      </w:r>
      <w:r>
        <w:rPr>
          <w:b/>
          <w:sz w:val="21"/>
        </w:rPr>
        <w:t>清单</w:t>
      </w:r>
    </w:p>
    <w:tbl>
      <w:tblPr>
        <w:tblW w:w="0" w:type="auto"/>
        <w:tblBorders>
          <w:top w:val="none" w:color="000000" w:sz="4"/>
          <w:left w:val="none" w:color="000000" w:sz="4"/>
          <w:bottom w:val="none" w:color="000000" w:sz="4"/>
          <w:right w:val="none" w:color="000000" w:sz="4"/>
          <w:insideH w:val="none"/>
          <w:insideV w:val="none"/>
        </w:tblBorders>
      </w:tblPr>
      <w:tblGrid>
        <w:gridCol w:w="641"/>
        <w:gridCol w:w="1527"/>
        <w:gridCol w:w="3955"/>
        <w:gridCol w:w="668"/>
        <w:gridCol w:w="736"/>
        <w:gridCol w:w="736"/>
      </w:tblGrid>
      <w:tr>
        <w:tc>
          <w:tcPr>
            <w:tcW w:type="dxa" w:w="641"/>
            <w:tcBorders>
              <w:top w:val="single" w:color="000000" w:sz="4"/>
              <w:left w:val="single" w:color="000000" w:sz="4"/>
              <w:bottom w:val="single" w:color="000000" w:sz="4"/>
              <w:right w:val="single" w:color="000000" w:sz="4"/>
            </w:tcBorders>
            <w:shd w:fill="FFFFFF"/>
            <w:vAlign w:val="top"/>
          </w:tcPr>
          <w:p>
            <w:pPr>
              <w:jc w:val="center"/>
            </w:pPr>
            <w:r>
              <w:rPr>
                <w:color w:val="000000"/>
                <w:sz w:val="21"/>
              </w:rPr>
              <w:t>序号</w:t>
            </w:r>
          </w:p>
        </w:tc>
        <w:tc>
          <w:tcPr>
            <w:tcW w:type="dxa" w:w="1527"/>
            <w:tcBorders>
              <w:top w:val="single" w:color="000000" w:sz="4"/>
              <w:left w:val="none" w:color="000000" w:sz="4"/>
              <w:bottom w:val="single" w:color="000000" w:sz="4"/>
              <w:right w:val="single" w:color="000000" w:sz="4"/>
            </w:tcBorders>
            <w:shd w:fill="FFFFFF"/>
            <w:vAlign w:val="top"/>
          </w:tcPr>
          <w:p>
            <w:pPr>
              <w:jc w:val="center"/>
            </w:pPr>
            <w:r>
              <w:rPr>
                <w:color w:val="000000"/>
                <w:sz w:val="21"/>
              </w:rPr>
              <w:t>服务项目</w:t>
            </w:r>
          </w:p>
        </w:tc>
        <w:tc>
          <w:tcPr>
            <w:tcW w:type="dxa" w:w="3955"/>
            <w:tcBorders>
              <w:top w:val="single" w:color="000000" w:sz="4"/>
              <w:left w:val="none" w:color="000000" w:sz="4"/>
              <w:bottom w:val="single" w:color="000000" w:sz="4"/>
              <w:right w:val="single" w:color="000000" w:sz="4"/>
            </w:tcBorders>
            <w:shd w:fill="FFFFFF"/>
            <w:vAlign w:val="top"/>
          </w:tcPr>
          <w:p>
            <w:pPr>
              <w:jc w:val="center"/>
            </w:pPr>
            <w:r>
              <w:rPr>
                <w:color w:val="000000"/>
                <w:sz w:val="21"/>
              </w:rPr>
              <w:t>服务内容</w:t>
            </w:r>
          </w:p>
        </w:tc>
        <w:tc>
          <w:tcPr>
            <w:tcW w:type="dxa" w:w="668"/>
            <w:tcBorders>
              <w:top w:val="single" w:color="000000" w:sz="4"/>
              <w:left w:val="none" w:color="000000" w:sz="4"/>
              <w:bottom w:val="single" w:color="000000" w:sz="4"/>
              <w:right w:val="single" w:color="000000" w:sz="4"/>
            </w:tcBorders>
            <w:shd w:fill="FFFFFF"/>
            <w:vAlign w:val="top"/>
          </w:tcPr>
          <w:p>
            <w:pPr>
              <w:jc w:val="center"/>
            </w:pPr>
            <w:r>
              <w:rPr>
                <w:color w:val="000000"/>
                <w:sz w:val="21"/>
              </w:rPr>
              <w:t>单位</w:t>
            </w:r>
          </w:p>
        </w:tc>
        <w:tc>
          <w:tcPr>
            <w:tcW w:type="dxa" w:w="736"/>
            <w:tcBorders>
              <w:top w:val="single" w:color="000000" w:sz="4"/>
              <w:left w:val="none" w:color="000000" w:sz="4"/>
              <w:bottom w:val="single" w:color="000000" w:sz="4"/>
              <w:right w:val="single" w:color="000000" w:sz="4"/>
            </w:tcBorders>
            <w:shd w:fill="FFFFFF"/>
            <w:vAlign w:val="top"/>
          </w:tcPr>
          <w:p>
            <w:pPr>
              <w:jc w:val="center"/>
            </w:pPr>
            <w:r>
              <w:rPr>
                <w:color w:val="000000"/>
                <w:sz w:val="21"/>
              </w:rPr>
              <w:t>数量</w:t>
            </w:r>
          </w:p>
        </w:tc>
        <w:tc>
          <w:tcPr>
            <w:tcW w:type="dxa" w:w="736"/>
            <w:tcBorders>
              <w:top w:val="single" w:color="000000" w:sz="4"/>
              <w:left w:val="none" w:color="000000" w:sz="4"/>
              <w:bottom w:val="single" w:color="000000" w:sz="4"/>
              <w:right w:val="single" w:color="000000" w:sz="4"/>
            </w:tcBorders>
            <w:shd w:fill="FFFFFF"/>
            <w:vAlign w:val="top"/>
          </w:tcPr>
          <w:p>
            <w:pPr>
              <w:jc w:val="center"/>
            </w:pPr>
            <w:r>
              <w:rPr>
                <w:color w:val="000000"/>
                <w:sz w:val="21"/>
              </w:rPr>
              <w:t>备注</w:t>
            </w:r>
          </w:p>
        </w:tc>
      </w:tr>
      <w:tr>
        <w:tc>
          <w:tcPr>
            <w:tcW w:type="dxa" w:w="641"/>
            <w:tcBorders>
              <w:top w:val="none" w:color="000000" w:sz="4"/>
              <w:left w:val="single" w:color="000000" w:sz="4"/>
              <w:bottom w:val="single" w:color="000000" w:sz="4"/>
              <w:right w:val="single" w:color="000000" w:sz="4"/>
            </w:tcBorders>
            <w:shd w:fill="FFFFFF"/>
            <w:vAlign w:val="top"/>
          </w:tcPr>
          <w:p>
            <w:pPr>
              <w:jc w:val="center"/>
            </w:pPr>
            <w:r>
              <w:rPr>
                <w:color w:val="000000"/>
                <w:sz w:val="21"/>
              </w:rPr>
              <w:t>1</w:t>
            </w:r>
          </w:p>
        </w:tc>
        <w:tc>
          <w:tcPr>
            <w:tcW w:type="dxa" w:w="1527"/>
            <w:tcBorders>
              <w:top w:val="none" w:color="000000" w:sz="4"/>
              <w:left w:val="none" w:color="000000" w:sz="4"/>
              <w:bottom w:val="single" w:color="000000" w:sz="4"/>
              <w:right w:val="single" w:color="000000" w:sz="4"/>
            </w:tcBorders>
            <w:shd w:fill="FFFFFF"/>
            <w:vAlign w:val="top"/>
          </w:tcPr>
          <w:p>
            <w:pPr>
              <w:jc w:val="center"/>
            </w:pPr>
            <w:r>
              <w:rPr>
                <w:color w:val="000000"/>
                <w:sz w:val="21"/>
              </w:rPr>
              <w:t>和家园视频监控采集服务</w:t>
            </w:r>
            <w:r>
              <w:rPr>
                <w:color w:val="000000"/>
                <w:sz w:val="21"/>
              </w:rPr>
              <w:t>(A型)</w:t>
            </w:r>
          </w:p>
        </w:tc>
        <w:tc>
          <w:tcPr>
            <w:tcW w:type="dxa" w:w="3955"/>
            <w:tcBorders>
              <w:top w:val="none" w:color="000000" w:sz="4"/>
              <w:left w:val="none" w:color="000000" w:sz="4"/>
              <w:bottom w:val="single" w:color="000000" w:sz="4"/>
              <w:right w:val="single" w:color="000000" w:sz="4"/>
            </w:tcBorders>
            <w:shd w:fill="FFFFFF"/>
            <w:vAlign w:val="top"/>
          </w:tcPr>
          <w:p>
            <w:pPr>
              <w:jc w:val="left"/>
            </w:pPr>
            <w:r>
              <w:rPr>
                <w:color w:val="000000"/>
                <w:sz w:val="21"/>
              </w:rPr>
              <w:t>按建设</w:t>
            </w:r>
            <w:r>
              <w:rPr>
                <w:color w:val="000000"/>
                <w:sz w:val="21"/>
              </w:rPr>
              <w:t>A型号摄像机及配套设施，包括</w:t>
            </w:r>
            <w:r>
              <w:rPr>
                <w:color w:val="000000"/>
                <w:sz w:val="21"/>
              </w:rPr>
              <w:t>配套前端</w:t>
            </w:r>
            <w:r>
              <w:rPr>
                <w:color w:val="000000"/>
                <w:sz w:val="21"/>
              </w:rPr>
              <w:t>摄像头</w:t>
            </w:r>
            <w:r>
              <w:rPr>
                <w:color w:val="000000"/>
                <w:sz w:val="21"/>
              </w:rPr>
              <w:t>、传输电路</w:t>
            </w:r>
            <w:r>
              <w:rPr>
                <w:color w:val="000000"/>
                <w:sz w:val="21"/>
              </w:rPr>
              <w:t>、</w:t>
            </w:r>
            <w:r>
              <w:rPr>
                <w:color w:val="000000"/>
                <w:sz w:val="21"/>
              </w:rPr>
              <w:t>视频云存储</w:t>
            </w:r>
            <w:r>
              <w:rPr>
                <w:color w:val="000000"/>
                <w:sz w:val="21"/>
              </w:rPr>
              <w:t>、运维等视频采集服务，含第三方检测。</w:t>
            </w:r>
          </w:p>
        </w:tc>
        <w:tc>
          <w:tcPr>
            <w:tcW w:type="dxa" w:w="668"/>
            <w:tcBorders>
              <w:top w:val="none" w:color="000000" w:sz="4"/>
              <w:left w:val="none" w:color="000000" w:sz="4"/>
              <w:bottom w:val="single" w:color="000000" w:sz="4"/>
              <w:right w:val="single" w:color="000000" w:sz="4"/>
            </w:tcBorders>
            <w:shd w:fill="FFFFFF"/>
            <w:vAlign w:val="top"/>
          </w:tcPr>
          <w:p>
            <w:pPr>
              <w:jc w:val="center"/>
            </w:pPr>
            <w:r>
              <w:rPr>
                <w:color w:val="000000"/>
                <w:sz w:val="21"/>
              </w:rPr>
              <w:t>项</w:t>
            </w:r>
          </w:p>
        </w:tc>
        <w:tc>
          <w:tcPr>
            <w:tcW w:type="dxa" w:w="736"/>
            <w:tcBorders>
              <w:top w:val="none" w:color="000000" w:sz="4"/>
              <w:left w:val="none" w:color="000000" w:sz="4"/>
              <w:bottom w:val="single" w:color="000000" w:sz="4"/>
              <w:right w:val="single" w:color="000000" w:sz="4"/>
            </w:tcBorders>
            <w:shd w:fill="FFFFFF"/>
            <w:vAlign w:val="top"/>
          </w:tcPr>
          <w:p>
            <w:pPr>
              <w:jc w:val="center"/>
            </w:pPr>
            <w:r>
              <w:rPr>
                <w:color w:val="000000"/>
                <w:sz w:val="21"/>
              </w:rPr>
              <w:t>571</w:t>
            </w:r>
          </w:p>
        </w:tc>
        <w:tc>
          <w:tcPr>
            <w:tcW w:type="dxa" w:w="736"/>
            <w:tcBorders>
              <w:top w:val="none" w:color="000000" w:sz="4"/>
              <w:left w:val="none" w:color="000000" w:sz="4"/>
              <w:bottom w:val="single" w:color="000000" w:sz="4"/>
              <w:right w:val="single" w:color="000000" w:sz="4"/>
            </w:tcBorders>
            <w:shd w:fill="FFFFFF"/>
            <w:vAlign w:val="top"/>
          </w:tcPr>
          <w:p>
            <w:pPr>
              <w:jc w:val="center"/>
            </w:pPr>
          </w:p>
        </w:tc>
      </w:tr>
      <w:tr>
        <w:tc>
          <w:tcPr>
            <w:tcW w:type="dxa" w:w="641"/>
            <w:tcBorders>
              <w:top w:val="none" w:color="000000" w:sz="4"/>
              <w:left w:val="single" w:color="000000" w:sz="4"/>
              <w:bottom w:val="single" w:color="000000" w:sz="4"/>
              <w:right w:val="single" w:color="000000" w:sz="4"/>
            </w:tcBorders>
            <w:shd w:fill="FFFFFF"/>
            <w:vAlign w:val="top"/>
          </w:tcPr>
          <w:p>
            <w:pPr>
              <w:jc w:val="center"/>
            </w:pPr>
            <w:r>
              <w:rPr>
                <w:color w:val="000000"/>
                <w:sz w:val="21"/>
              </w:rPr>
              <w:t>2</w:t>
            </w:r>
            <w:r>
              <w:rPr>
                <w:sz w:val="21"/>
              </w:rPr>
              <w:t xml:space="preserve"> </w:t>
            </w:r>
          </w:p>
        </w:tc>
        <w:tc>
          <w:tcPr>
            <w:tcW w:type="dxa" w:w="1527"/>
            <w:tcBorders>
              <w:top w:val="none" w:color="000000" w:sz="4"/>
              <w:left w:val="none" w:color="000000" w:sz="4"/>
              <w:bottom w:val="single" w:color="000000" w:sz="4"/>
              <w:right w:val="single" w:color="000000" w:sz="4"/>
            </w:tcBorders>
            <w:shd w:fill="FFFFFF"/>
            <w:vAlign w:val="top"/>
          </w:tcPr>
          <w:p>
            <w:pPr>
              <w:jc w:val="center"/>
            </w:pPr>
            <w:r>
              <w:rPr>
                <w:color w:val="000000"/>
                <w:sz w:val="21"/>
              </w:rPr>
              <w:t>和家园视频监控采集服务</w:t>
            </w:r>
            <w:r>
              <w:rPr>
                <w:color w:val="000000"/>
                <w:sz w:val="21"/>
              </w:rPr>
              <w:t>(</w:t>
            </w:r>
            <w:r>
              <w:rPr>
                <w:color w:val="000000"/>
                <w:sz w:val="21"/>
              </w:rPr>
              <w:t>B</w:t>
            </w:r>
            <w:r>
              <w:rPr>
                <w:color w:val="000000"/>
                <w:sz w:val="21"/>
              </w:rPr>
              <w:t>型</w:t>
            </w:r>
            <w:r>
              <w:rPr>
                <w:color w:val="000000"/>
                <w:sz w:val="21"/>
              </w:rPr>
              <w:t>)</w:t>
            </w:r>
          </w:p>
        </w:tc>
        <w:tc>
          <w:tcPr>
            <w:tcW w:type="dxa" w:w="3955"/>
            <w:tcBorders>
              <w:top w:val="none" w:color="000000" w:sz="4"/>
              <w:left w:val="none" w:color="000000" w:sz="4"/>
              <w:bottom w:val="single" w:color="000000" w:sz="4"/>
              <w:right w:val="single" w:color="000000" w:sz="4"/>
            </w:tcBorders>
            <w:shd w:fill="FFFFFF"/>
            <w:vAlign w:val="top"/>
          </w:tcPr>
          <w:p>
            <w:pPr>
              <w:jc w:val="left"/>
            </w:pPr>
            <w:r>
              <w:rPr>
                <w:color w:val="000000"/>
                <w:sz w:val="21"/>
              </w:rPr>
              <w:t>按建设</w:t>
            </w:r>
            <w:r>
              <w:rPr>
                <w:color w:val="000000"/>
                <w:sz w:val="21"/>
              </w:rPr>
              <w:t>B型号摄像机及配套设施，包括</w:t>
            </w:r>
            <w:r>
              <w:rPr>
                <w:color w:val="000000"/>
                <w:sz w:val="21"/>
              </w:rPr>
              <w:t>配套前端</w:t>
            </w:r>
            <w:r>
              <w:rPr>
                <w:color w:val="000000"/>
                <w:sz w:val="21"/>
              </w:rPr>
              <w:t>摄像头</w:t>
            </w:r>
            <w:r>
              <w:rPr>
                <w:color w:val="000000"/>
                <w:sz w:val="21"/>
              </w:rPr>
              <w:t>、传输电路</w:t>
            </w:r>
            <w:r>
              <w:rPr>
                <w:color w:val="000000"/>
                <w:sz w:val="21"/>
              </w:rPr>
              <w:t>、</w:t>
            </w:r>
            <w:r>
              <w:rPr>
                <w:color w:val="000000"/>
                <w:sz w:val="21"/>
              </w:rPr>
              <w:t>视频云存储</w:t>
            </w:r>
            <w:r>
              <w:rPr>
                <w:color w:val="000000"/>
                <w:sz w:val="21"/>
              </w:rPr>
              <w:t>、运维等视频采集服务，含第三方检测。</w:t>
            </w:r>
          </w:p>
        </w:tc>
        <w:tc>
          <w:tcPr>
            <w:tcW w:type="dxa" w:w="668"/>
            <w:tcBorders>
              <w:top w:val="none" w:color="000000" w:sz="4"/>
              <w:left w:val="none" w:color="000000" w:sz="4"/>
              <w:bottom w:val="single" w:color="000000" w:sz="4"/>
              <w:right w:val="single" w:color="000000" w:sz="4"/>
            </w:tcBorders>
            <w:shd w:fill="FFFFFF"/>
            <w:vAlign w:val="top"/>
          </w:tcPr>
          <w:p>
            <w:pPr>
              <w:jc w:val="center"/>
            </w:pPr>
            <w:r>
              <w:rPr>
                <w:color w:val="000000"/>
                <w:sz w:val="21"/>
              </w:rPr>
              <w:t>项</w:t>
            </w:r>
          </w:p>
        </w:tc>
        <w:tc>
          <w:tcPr>
            <w:tcW w:type="dxa" w:w="736"/>
            <w:tcBorders>
              <w:top w:val="none" w:color="000000" w:sz="4"/>
              <w:left w:val="none" w:color="000000" w:sz="4"/>
              <w:bottom w:val="single" w:color="000000" w:sz="4"/>
              <w:right w:val="single" w:color="000000" w:sz="4"/>
            </w:tcBorders>
            <w:shd w:fill="FFFFFF"/>
            <w:vAlign w:val="top"/>
          </w:tcPr>
          <w:p>
            <w:pPr>
              <w:jc w:val="center"/>
            </w:pPr>
            <w:r>
              <w:rPr>
                <w:color w:val="000000"/>
                <w:sz w:val="21"/>
              </w:rPr>
              <w:t>164</w:t>
            </w:r>
          </w:p>
        </w:tc>
        <w:tc>
          <w:tcPr>
            <w:tcW w:type="dxa" w:w="736"/>
            <w:tcBorders>
              <w:top w:val="none" w:color="000000" w:sz="4"/>
              <w:left w:val="none" w:color="000000" w:sz="4"/>
              <w:bottom w:val="single" w:color="000000" w:sz="4"/>
              <w:right w:val="single" w:color="000000" w:sz="4"/>
            </w:tcBorders>
            <w:shd w:fill="FFFFFF"/>
            <w:vAlign w:val="top"/>
          </w:tcPr>
          <w:p>
            <w:pPr>
              <w:jc w:val="center"/>
            </w:pPr>
          </w:p>
        </w:tc>
      </w:tr>
      <w:tr>
        <w:tc>
          <w:tcPr>
            <w:tcW w:type="dxa" w:w="641"/>
            <w:tcBorders>
              <w:top w:val="none" w:color="000000" w:sz="4"/>
              <w:left w:val="single" w:color="000000" w:sz="4"/>
              <w:bottom w:val="single" w:color="000000" w:sz="4"/>
              <w:right w:val="single" w:color="000000" w:sz="4"/>
            </w:tcBorders>
            <w:shd w:fill="FFFFFF"/>
            <w:vAlign w:val="top"/>
          </w:tcPr>
          <w:p>
            <w:pPr>
              <w:jc w:val="center"/>
            </w:pPr>
            <w:r>
              <w:rPr>
                <w:color w:val="000000"/>
                <w:sz w:val="21"/>
              </w:rPr>
              <w:t>3</w:t>
            </w:r>
          </w:p>
        </w:tc>
        <w:tc>
          <w:tcPr>
            <w:tcW w:type="dxa" w:w="1527"/>
            <w:tcBorders>
              <w:top w:val="none" w:color="000000" w:sz="4"/>
              <w:left w:val="none" w:color="000000" w:sz="4"/>
              <w:bottom w:val="single" w:color="000000" w:sz="4"/>
              <w:right w:val="single" w:color="000000" w:sz="4"/>
            </w:tcBorders>
            <w:shd w:fill="FFFFFF"/>
            <w:vAlign w:val="top"/>
          </w:tcPr>
          <w:p>
            <w:pPr>
              <w:jc w:val="center"/>
            </w:pPr>
            <w:r>
              <w:rPr>
                <w:color w:val="000000"/>
                <w:sz w:val="21"/>
              </w:rPr>
              <w:t>A</w:t>
            </w:r>
            <w:r>
              <w:rPr>
                <w:color w:val="000000"/>
                <w:sz w:val="21"/>
              </w:rPr>
              <w:t>型摄像机监控立杆及基础</w:t>
            </w:r>
          </w:p>
        </w:tc>
        <w:tc>
          <w:tcPr>
            <w:tcW w:type="dxa" w:w="3955"/>
            <w:tcBorders>
              <w:top w:val="none" w:color="000000" w:sz="4"/>
              <w:left w:val="none" w:color="000000" w:sz="4"/>
              <w:bottom w:val="single" w:color="000000" w:sz="4"/>
              <w:right w:val="single" w:color="000000" w:sz="4"/>
            </w:tcBorders>
            <w:shd w:fill="FFFFFF"/>
            <w:vAlign w:val="top"/>
          </w:tcPr>
          <w:p>
            <w:pPr>
              <w:jc w:val="left"/>
            </w:pPr>
            <w:r>
              <w:rPr>
                <w:color w:val="000000"/>
                <w:sz w:val="21"/>
              </w:rPr>
              <w:t>监控点位的立杆、基础、地网的建设。</w:t>
            </w:r>
          </w:p>
        </w:tc>
        <w:tc>
          <w:tcPr>
            <w:tcW w:type="dxa" w:w="668"/>
            <w:tcBorders>
              <w:top w:val="none" w:color="000000" w:sz="4"/>
              <w:left w:val="none" w:color="000000" w:sz="4"/>
              <w:bottom w:val="single" w:color="000000" w:sz="4"/>
              <w:right w:val="single" w:color="000000" w:sz="4"/>
            </w:tcBorders>
            <w:shd w:fill="FFFFFF"/>
            <w:vAlign w:val="top"/>
          </w:tcPr>
          <w:p>
            <w:pPr>
              <w:jc w:val="center"/>
            </w:pPr>
            <w:r>
              <w:rPr>
                <w:color w:val="000000"/>
                <w:sz w:val="21"/>
              </w:rPr>
              <w:t>条</w:t>
            </w:r>
          </w:p>
        </w:tc>
        <w:tc>
          <w:tcPr>
            <w:tcW w:type="dxa" w:w="736"/>
            <w:tcBorders>
              <w:top w:val="none" w:color="000000" w:sz="4"/>
              <w:left w:val="none" w:color="000000" w:sz="4"/>
              <w:bottom w:val="single" w:color="000000" w:sz="4"/>
              <w:right w:val="single" w:color="000000" w:sz="4"/>
            </w:tcBorders>
            <w:shd w:fill="FFFFFF"/>
            <w:vAlign w:val="top"/>
          </w:tcPr>
          <w:p>
            <w:pPr>
              <w:jc w:val="center"/>
            </w:pPr>
            <w:r>
              <w:rPr>
                <w:color w:val="000000"/>
                <w:sz w:val="21"/>
              </w:rPr>
              <w:t>61</w:t>
            </w:r>
          </w:p>
        </w:tc>
        <w:tc>
          <w:tcPr>
            <w:tcW w:type="dxa" w:w="736"/>
            <w:tcBorders>
              <w:top w:val="none" w:color="000000" w:sz="4"/>
              <w:left w:val="none" w:color="000000" w:sz="4"/>
              <w:bottom w:val="single" w:color="000000" w:sz="4"/>
              <w:right w:val="single" w:color="000000" w:sz="4"/>
            </w:tcBorders>
            <w:shd w:fill="FFFFFF"/>
            <w:vAlign w:val="top"/>
          </w:tcPr>
          <w:p>
            <w:pPr>
              <w:jc w:val="center"/>
            </w:pPr>
          </w:p>
        </w:tc>
      </w:tr>
      <w:tr>
        <w:tc>
          <w:tcPr>
            <w:tcW w:type="dxa" w:w="641"/>
            <w:tcBorders>
              <w:top w:val="none" w:color="000000" w:sz="4"/>
              <w:left w:val="single" w:color="000000" w:sz="4"/>
              <w:bottom w:val="single" w:color="000000" w:sz="4"/>
              <w:right w:val="single" w:color="000000" w:sz="4"/>
            </w:tcBorders>
            <w:shd w:fill="FFFFFF"/>
            <w:vAlign w:val="top"/>
          </w:tcPr>
          <w:p>
            <w:pPr>
              <w:jc w:val="center"/>
            </w:pPr>
            <w:r>
              <w:rPr>
                <w:color w:val="000000"/>
                <w:sz w:val="21"/>
              </w:rPr>
              <w:t>4</w:t>
            </w:r>
          </w:p>
        </w:tc>
        <w:tc>
          <w:tcPr>
            <w:tcW w:type="dxa" w:w="1527"/>
            <w:tcBorders>
              <w:top w:val="none" w:color="000000" w:sz="4"/>
              <w:left w:val="none" w:color="000000" w:sz="4"/>
              <w:bottom w:val="single" w:color="000000" w:sz="4"/>
              <w:right w:val="single" w:color="000000" w:sz="4"/>
            </w:tcBorders>
            <w:shd w:fill="FFFFFF"/>
            <w:vAlign w:val="top"/>
          </w:tcPr>
          <w:p>
            <w:pPr>
              <w:jc w:val="center"/>
            </w:pPr>
            <w:r>
              <w:rPr>
                <w:color w:val="000000"/>
                <w:sz w:val="21"/>
              </w:rPr>
              <w:t>B型摄像机监控立杆及基础</w:t>
            </w:r>
          </w:p>
        </w:tc>
        <w:tc>
          <w:tcPr>
            <w:tcW w:type="dxa" w:w="3955"/>
            <w:tcBorders>
              <w:top w:val="none" w:color="000000" w:sz="4"/>
              <w:left w:val="none" w:color="000000" w:sz="4"/>
              <w:bottom w:val="single" w:color="000000" w:sz="4"/>
              <w:right w:val="single" w:color="000000" w:sz="4"/>
            </w:tcBorders>
            <w:shd w:fill="FFFFFF"/>
            <w:vAlign w:val="top"/>
          </w:tcPr>
          <w:p>
            <w:pPr>
              <w:jc w:val="left"/>
            </w:pPr>
            <w:r>
              <w:rPr>
                <w:color w:val="000000"/>
                <w:sz w:val="21"/>
              </w:rPr>
              <w:t>监控点位的立杆、基础、地网的建设。</w:t>
            </w:r>
          </w:p>
        </w:tc>
        <w:tc>
          <w:tcPr>
            <w:tcW w:type="dxa" w:w="668"/>
            <w:tcBorders>
              <w:top w:val="none" w:color="000000" w:sz="4"/>
              <w:left w:val="none" w:color="000000" w:sz="4"/>
              <w:bottom w:val="single" w:color="000000" w:sz="4"/>
              <w:right w:val="single" w:color="000000" w:sz="4"/>
            </w:tcBorders>
            <w:shd w:fill="FFFFFF"/>
            <w:vAlign w:val="top"/>
          </w:tcPr>
          <w:p>
            <w:pPr>
              <w:jc w:val="center"/>
            </w:pPr>
            <w:r>
              <w:rPr>
                <w:color w:val="000000"/>
                <w:sz w:val="21"/>
              </w:rPr>
              <w:t>条</w:t>
            </w:r>
          </w:p>
        </w:tc>
        <w:tc>
          <w:tcPr>
            <w:tcW w:type="dxa" w:w="736"/>
            <w:tcBorders>
              <w:top w:val="none" w:color="000000" w:sz="4"/>
              <w:left w:val="none" w:color="000000" w:sz="4"/>
              <w:bottom w:val="single" w:color="000000" w:sz="4"/>
              <w:right w:val="single" w:color="000000" w:sz="4"/>
            </w:tcBorders>
            <w:shd w:fill="FFFFFF"/>
            <w:vAlign w:val="top"/>
          </w:tcPr>
          <w:p>
            <w:pPr>
              <w:jc w:val="center"/>
            </w:pPr>
            <w:r>
              <w:rPr>
                <w:color w:val="000000"/>
                <w:sz w:val="21"/>
              </w:rPr>
              <w:t>22</w:t>
            </w:r>
          </w:p>
        </w:tc>
        <w:tc>
          <w:tcPr>
            <w:tcW w:type="dxa" w:w="736"/>
            <w:tcBorders>
              <w:top w:val="none" w:color="000000" w:sz="4"/>
              <w:left w:val="none" w:color="000000" w:sz="4"/>
              <w:bottom w:val="single" w:color="000000" w:sz="4"/>
              <w:right w:val="single" w:color="000000" w:sz="4"/>
            </w:tcBorders>
            <w:shd w:fill="FFFFFF"/>
            <w:vAlign w:val="top"/>
          </w:tcPr>
          <w:p>
            <w:pPr>
              <w:jc w:val="center"/>
            </w:pPr>
          </w:p>
        </w:tc>
      </w:tr>
      <w:tr>
        <w:tc>
          <w:tcPr>
            <w:tcW w:type="dxa" w:w="641"/>
            <w:tcBorders>
              <w:top w:val="none" w:color="000000" w:sz="4"/>
              <w:left w:val="single" w:color="000000" w:sz="4"/>
              <w:bottom w:val="single" w:color="000000" w:sz="4"/>
              <w:right w:val="single" w:color="000000" w:sz="4"/>
            </w:tcBorders>
            <w:shd w:fill="FFFFFF"/>
            <w:vAlign w:val="top"/>
          </w:tcPr>
          <w:p>
            <w:pPr>
              <w:jc w:val="center"/>
            </w:pPr>
            <w:r>
              <w:rPr>
                <w:color w:val="000000"/>
                <w:sz w:val="21"/>
              </w:rPr>
              <w:t>5</w:t>
            </w:r>
          </w:p>
        </w:tc>
        <w:tc>
          <w:tcPr>
            <w:tcW w:type="dxa" w:w="1527"/>
            <w:tcBorders>
              <w:top w:val="none" w:color="000000" w:sz="4"/>
              <w:left w:val="none" w:color="000000" w:sz="4"/>
              <w:bottom w:val="single" w:color="000000" w:sz="4"/>
              <w:right w:val="single" w:color="000000" w:sz="4"/>
            </w:tcBorders>
            <w:shd w:fill="FFFFFF"/>
            <w:vAlign w:val="top"/>
          </w:tcPr>
          <w:p>
            <w:pPr>
              <w:jc w:val="center"/>
            </w:pPr>
            <w:r>
              <w:rPr>
                <w:color w:val="000000"/>
                <w:sz w:val="21"/>
              </w:rPr>
              <w:t>漏电开关</w:t>
            </w:r>
          </w:p>
        </w:tc>
        <w:tc>
          <w:tcPr>
            <w:tcW w:type="dxa" w:w="3955"/>
            <w:tcBorders>
              <w:top w:val="none" w:color="000000" w:sz="4"/>
              <w:left w:val="none" w:color="000000" w:sz="4"/>
              <w:bottom w:val="single" w:color="000000" w:sz="4"/>
              <w:right w:val="single" w:color="000000" w:sz="4"/>
            </w:tcBorders>
            <w:shd w:fill="FFFFFF"/>
            <w:vAlign w:val="top"/>
          </w:tcPr>
          <w:p>
            <w:pPr>
              <w:jc w:val="left"/>
            </w:pPr>
            <w:r>
              <w:rPr>
                <w:color w:val="000000"/>
                <w:sz w:val="21"/>
              </w:rPr>
              <w:t>含</w:t>
            </w:r>
            <w:r>
              <w:rPr>
                <w:color w:val="000000"/>
                <w:sz w:val="21"/>
              </w:rPr>
              <w:t>1P10A漏电开关及开关盒</w:t>
            </w:r>
          </w:p>
        </w:tc>
        <w:tc>
          <w:tcPr>
            <w:tcW w:type="dxa" w:w="668"/>
            <w:tcBorders>
              <w:top w:val="none" w:color="000000" w:sz="4"/>
              <w:left w:val="none" w:color="000000" w:sz="4"/>
              <w:bottom w:val="single" w:color="000000" w:sz="4"/>
              <w:right w:val="single" w:color="000000" w:sz="4"/>
            </w:tcBorders>
            <w:shd w:fill="FFFFFF"/>
            <w:vAlign w:val="top"/>
          </w:tcPr>
          <w:p>
            <w:pPr>
              <w:jc w:val="center"/>
            </w:pPr>
            <w:r>
              <w:rPr>
                <w:color w:val="000000"/>
                <w:sz w:val="21"/>
              </w:rPr>
              <w:t>套</w:t>
            </w:r>
          </w:p>
        </w:tc>
        <w:tc>
          <w:tcPr>
            <w:tcW w:type="dxa" w:w="736"/>
            <w:tcBorders>
              <w:top w:val="none" w:color="000000" w:sz="4"/>
              <w:left w:val="none" w:color="000000" w:sz="4"/>
              <w:bottom w:val="single" w:color="000000" w:sz="4"/>
              <w:right w:val="single" w:color="000000" w:sz="4"/>
            </w:tcBorders>
            <w:shd w:fill="FFFFFF"/>
            <w:vAlign w:val="top"/>
          </w:tcPr>
          <w:p>
            <w:pPr>
              <w:jc w:val="center"/>
            </w:pPr>
            <w:r>
              <w:rPr>
                <w:color w:val="000000"/>
                <w:sz w:val="21"/>
              </w:rPr>
              <w:t>735</w:t>
            </w:r>
          </w:p>
        </w:tc>
        <w:tc>
          <w:tcPr>
            <w:tcW w:type="dxa" w:w="736"/>
            <w:tcBorders>
              <w:top w:val="none" w:color="000000" w:sz="4"/>
              <w:left w:val="none" w:color="000000" w:sz="4"/>
              <w:bottom w:val="single" w:color="000000" w:sz="4"/>
              <w:right w:val="single" w:color="000000" w:sz="4"/>
            </w:tcBorders>
            <w:shd w:fill="FFFFFF"/>
            <w:vAlign w:val="top"/>
          </w:tcPr>
          <w:p>
            <w:pPr>
              <w:jc w:val="center"/>
            </w:pPr>
          </w:p>
        </w:tc>
      </w:tr>
      <w:tr>
        <w:tc>
          <w:tcPr>
            <w:tcW w:type="dxa" w:w="641"/>
            <w:tcBorders>
              <w:top w:val="none" w:color="000000" w:sz="4"/>
              <w:left w:val="single" w:color="000000" w:sz="4"/>
              <w:bottom w:val="single" w:color="000000" w:sz="4"/>
              <w:right w:val="single" w:color="000000" w:sz="4"/>
            </w:tcBorders>
            <w:shd w:fill="FFFFFF"/>
            <w:vAlign w:val="top"/>
          </w:tcPr>
          <w:p>
            <w:pPr>
              <w:jc w:val="center"/>
            </w:pPr>
            <w:r>
              <w:rPr>
                <w:color w:val="000000"/>
                <w:sz w:val="21"/>
              </w:rPr>
              <w:t>6</w:t>
            </w:r>
          </w:p>
        </w:tc>
        <w:tc>
          <w:tcPr>
            <w:tcW w:type="dxa" w:w="1527"/>
            <w:tcBorders>
              <w:top w:val="none" w:color="000000" w:sz="4"/>
              <w:left w:val="none" w:color="000000" w:sz="4"/>
              <w:bottom w:val="single" w:color="000000" w:sz="4"/>
              <w:right w:val="single" w:color="000000" w:sz="4"/>
            </w:tcBorders>
            <w:shd w:fill="FFFFFF"/>
            <w:vAlign w:val="top"/>
          </w:tcPr>
          <w:p>
            <w:pPr>
              <w:jc w:val="center"/>
            </w:pPr>
            <w:r>
              <w:rPr>
                <w:color w:val="000000"/>
                <w:sz w:val="21"/>
              </w:rPr>
              <w:t>电源线</w:t>
            </w:r>
          </w:p>
        </w:tc>
        <w:tc>
          <w:tcPr>
            <w:tcW w:type="dxa" w:w="3955"/>
            <w:tcBorders>
              <w:top w:val="none" w:color="000000" w:sz="4"/>
              <w:left w:val="none" w:color="000000" w:sz="4"/>
              <w:bottom w:val="single" w:color="000000" w:sz="4"/>
              <w:right w:val="single" w:color="000000" w:sz="4"/>
            </w:tcBorders>
            <w:shd w:fill="FFFFFF"/>
            <w:vAlign w:val="top"/>
          </w:tcPr>
          <w:p>
            <w:pPr>
              <w:jc w:val="left"/>
            </w:pPr>
            <w:r>
              <w:rPr>
                <w:color w:val="000000"/>
                <w:sz w:val="21"/>
              </w:rPr>
              <w:t>RVV3*1.5电力电缆</w:t>
            </w:r>
          </w:p>
        </w:tc>
        <w:tc>
          <w:tcPr>
            <w:tcW w:type="dxa" w:w="668"/>
            <w:tcBorders>
              <w:top w:val="none" w:color="000000" w:sz="4"/>
              <w:left w:val="none" w:color="000000" w:sz="4"/>
              <w:bottom w:val="single" w:color="000000" w:sz="4"/>
              <w:right w:val="single" w:color="000000" w:sz="4"/>
            </w:tcBorders>
            <w:shd w:fill="FFFFFF"/>
            <w:vAlign w:val="top"/>
          </w:tcPr>
          <w:p>
            <w:pPr>
              <w:jc w:val="center"/>
            </w:pPr>
            <w:r>
              <w:rPr>
                <w:color w:val="000000"/>
                <w:sz w:val="21"/>
              </w:rPr>
              <w:t>米</w:t>
            </w:r>
          </w:p>
        </w:tc>
        <w:tc>
          <w:tcPr>
            <w:tcW w:type="dxa" w:w="736"/>
            <w:tcBorders>
              <w:top w:val="none" w:color="000000" w:sz="4"/>
              <w:left w:val="none" w:color="000000" w:sz="4"/>
              <w:bottom w:val="single" w:color="000000" w:sz="4"/>
              <w:right w:val="single" w:color="000000" w:sz="4"/>
            </w:tcBorders>
            <w:shd w:fill="FFFFFF"/>
            <w:vAlign w:val="top"/>
          </w:tcPr>
          <w:p>
            <w:pPr>
              <w:jc w:val="center"/>
            </w:pPr>
            <w:r>
              <w:rPr>
                <w:color w:val="000000"/>
                <w:sz w:val="21"/>
              </w:rPr>
              <w:t>14700</w:t>
            </w:r>
          </w:p>
        </w:tc>
        <w:tc>
          <w:tcPr>
            <w:tcW w:type="dxa" w:w="736"/>
            <w:tcBorders>
              <w:top w:val="none" w:color="000000" w:sz="4"/>
              <w:left w:val="none" w:color="000000" w:sz="4"/>
              <w:bottom w:val="single" w:color="000000" w:sz="4"/>
              <w:right w:val="single" w:color="000000" w:sz="4"/>
            </w:tcBorders>
            <w:shd w:fill="FFFFFF"/>
            <w:vAlign w:val="top"/>
          </w:tcPr>
          <w:p>
            <w:pPr>
              <w:jc w:val="center"/>
            </w:pPr>
          </w:p>
        </w:tc>
      </w:tr>
      <w:tr>
        <w:tc>
          <w:tcPr>
            <w:tcW w:type="dxa" w:w="641"/>
            <w:tcBorders>
              <w:top w:val="none" w:color="000000" w:sz="4"/>
              <w:left w:val="single" w:color="000000" w:sz="4"/>
              <w:bottom w:val="single" w:color="000000" w:sz="4"/>
              <w:right w:val="single" w:color="000000" w:sz="4"/>
            </w:tcBorders>
            <w:shd w:fill="FFFFFF"/>
            <w:vAlign w:val="top"/>
          </w:tcPr>
          <w:p>
            <w:pPr>
              <w:jc w:val="center"/>
            </w:pPr>
            <w:r>
              <w:rPr>
                <w:color w:val="000000"/>
                <w:sz w:val="21"/>
              </w:rPr>
              <w:t>7</w:t>
            </w:r>
          </w:p>
        </w:tc>
        <w:tc>
          <w:tcPr>
            <w:tcW w:type="dxa" w:w="1527"/>
            <w:tcBorders>
              <w:top w:val="none" w:color="000000" w:sz="4"/>
              <w:left w:val="none" w:color="000000" w:sz="4"/>
              <w:bottom w:val="single" w:color="000000" w:sz="4"/>
              <w:right w:val="single" w:color="000000" w:sz="4"/>
            </w:tcBorders>
            <w:shd w:fill="FFFFFF"/>
            <w:vAlign w:val="top"/>
          </w:tcPr>
          <w:p>
            <w:pPr>
              <w:jc w:val="center"/>
            </w:pPr>
            <w:r>
              <w:rPr>
                <w:color w:val="000000"/>
                <w:sz w:val="21"/>
              </w:rPr>
              <w:t>和家园特征识别算法授权服务</w:t>
            </w:r>
          </w:p>
        </w:tc>
        <w:tc>
          <w:tcPr>
            <w:tcW w:type="dxa" w:w="3955"/>
            <w:tcBorders>
              <w:top w:val="none" w:color="000000" w:sz="4"/>
              <w:left w:val="none" w:color="000000" w:sz="4"/>
              <w:bottom w:val="single" w:color="000000" w:sz="4"/>
              <w:right w:val="single" w:color="000000" w:sz="4"/>
            </w:tcBorders>
            <w:shd w:fill="FFFFFF"/>
            <w:vAlign w:val="top"/>
          </w:tcPr>
          <w:p>
            <w:pPr>
              <w:jc w:val="left"/>
            </w:pPr>
            <w:r>
              <w:rPr>
                <w:color w:val="000000"/>
                <w:sz w:val="21"/>
              </w:rPr>
              <w:t>解析前端设备抓拍的图片，包括人脸、人体、车、非机动车等。</w:t>
            </w:r>
          </w:p>
        </w:tc>
        <w:tc>
          <w:tcPr>
            <w:tcW w:type="dxa" w:w="668"/>
            <w:tcBorders>
              <w:top w:val="none" w:color="000000" w:sz="4"/>
              <w:left w:val="none" w:color="000000" w:sz="4"/>
              <w:bottom w:val="single" w:color="000000" w:sz="4"/>
              <w:right w:val="single" w:color="000000" w:sz="4"/>
            </w:tcBorders>
            <w:shd w:fill="FFFFFF"/>
            <w:vAlign w:val="top"/>
          </w:tcPr>
          <w:p>
            <w:pPr>
              <w:jc w:val="center"/>
            </w:pPr>
            <w:r>
              <w:rPr>
                <w:color w:val="000000"/>
                <w:sz w:val="21"/>
              </w:rPr>
              <w:t>路</w:t>
            </w:r>
          </w:p>
        </w:tc>
        <w:tc>
          <w:tcPr>
            <w:tcW w:type="dxa" w:w="736"/>
            <w:tcBorders>
              <w:top w:val="none" w:color="000000" w:sz="4"/>
              <w:left w:val="none" w:color="000000" w:sz="4"/>
              <w:bottom w:val="single" w:color="000000" w:sz="4"/>
              <w:right w:val="single" w:color="000000" w:sz="4"/>
            </w:tcBorders>
            <w:shd w:fill="FFFFFF"/>
            <w:vAlign w:val="top"/>
          </w:tcPr>
          <w:p>
            <w:pPr>
              <w:jc w:val="center"/>
            </w:pPr>
            <w:r>
              <w:rPr>
                <w:color w:val="000000"/>
                <w:sz w:val="21"/>
              </w:rPr>
              <w:t>735</w:t>
            </w:r>
          </w:p>
        </w:tc>
        <w:tc>
          <w:tcPr>
            <w:tcW w:type="dxa" w:w="736"/>
            <w:tcBorders>
              <w:top w:val="none" w:color="000000" w:sz="4"/>
              <w:left w:val="none" w:color="000000" w:sz="4"/>
              <w:bottom w:val="single" w:color="000000" w:sz="4"/>
              <w:right w:val="single" w:color="000000" w:sz="4"/>
            </w:tcBorders>
            <w:shd w:fill="FFFFFF"/>
            <w:vAlign w:val="top"/>
          </w:tcPr>
          <w:p>
            <w:pPr>
              <w:jc w:val="center"/>
            </w:pPr>
          </w:p>
        </w:tc>
      </w:tr>
    </w:tbl>
    <w:p/>
    <w:p>
      <w:pPr>
        <w:ind w:firstLine="480"/>
      </w:pPr>
    </w:p>
    <w:p/>
    <w:p>
      <w:r>
        <w:rPr/>
        <w:t>采购包1（紫金县平安乡村智慧视频项目）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签订合同后3个月内完成所有设备及系统的安装调试。</w:t>
            </w:r>
          </w:p>
        </w:tc>
      </w:tr>
      <w:tr>
        <w:tc>
          <w:tcPr>
            <w:tcW w:type="dxa" w:w="4153"/>
          </w:tcPr>
          <w:p>
            <w:r>
              <w:rPr/>
              <w:t>标的提供的地点</w:t>
            </w:r>
          </w:p>
        </w:tc>
        <w:tc>
          <w:tcPr>
            <w:tcW w:type="dxa" w:w="4153"/>
          </w:tcPr>
          <w:p/>
          <w:p>
            <w:r>
              <w:rPr/>
              <w:t>采购人指定地点(紫金县)。</w:t>
            </w:r>
          </w:p>
        </w:tc>
      </w:tr>
      <w:tr>
        <w:tc>
          <w:tcPr>
            <w:tcW w:type="dxa" w:w="4153"/>
          </w:tcPr>
          <w:p>
            <w:r>
              <w:rPr/>
              <w:t>付款方式</w:t>
            </w:r>
          </w:p>
        </w:tc>
        <w:tc>
          <w:tcPr>
            <w:tcW w:type="dxa" w:w="4153"/>
          </w:tcPr>
          <w:p/>
          <w:p/>
          <w:p>
            <w:r>
              <w:rPr/>
              <w:t>1期：支付比例10%,(1)签订合同后30日内支付合同总金额的10%作为项目预付款</w:t>
            </w:r>
          </w:p>
          <w:p/>
          <w:p>
            <w:r>
              <w:rPr/>
              <w:t>2期：支付比例30%,(2)项目完工之日起30日内支付合同总金额的30%</w:t>
            </w:r>
          </w:p>
          <w:p/>
          <w:p>
            <w:r>
              <w:rPr/>
              <w:t>3期：支付比例50%,(3)项目终验合格后30日内支付合同总金额的50%</w:t>
            </w:r>
          </w:p>
          <w:p/>
          <w:p>
            <w:r>
              <w:rPr/>
              <w:t>4期：支付比例10%,(4)项目维护期结束后30日内支付合同总金额的10%。注：1.因采购人使用财政资金的，采购人在前款规定的付款时间为向政府采购支付部门提出办理财政支付申请手续的时间（不含政府财政支付部门审核的时间），在规定时间内提出支付申请手续后即视为采购人已经按期支付。2.中标人凭以下有效文件与采购人结算：1）合同；2）中标人开具的正式发票；3）验收报告；4）中标(成交)通知书</w:t>
            </w:r>
          </w:p>
        </w:tc>
      </w:tr>
      <w:tr>
        <w:tc>
          <w:tcPr>
            <w:tcW w:type="dxa" w:w="4153"/>
          </w:tcPr>
          <w:p>
            <w:r>
              <w:rPr/>
              <w:t>验收要求</w:t>
            </w:r>
          </w:p>
        </w:tc>
        <w:tc>
          <w:tcPr>
            <w:tcW w:type="dxa" w:w="4153"/>
          </w:tcPr>
          <w:p/>
          <w:p/>
          <w:p/>
          <w:p>
            <w:r>
              <w:rPr/>
              <w:t>1期：在系统正式交付用户运行前，需要对系统进行比较全面、彻底的检验审查，将错误控制在最小范围，不能经常出现不稳定、不可靠、运行结果不正确的事故，特别不能够存在导致数据损坏、安全失控、系统崩溃等的严重错误。 1.验收主体：紫金县公安局。 2.验收时间：中标人完成交货、安装调试工作并交付采购人使用后，与采购人协商为准。 3.验收方式、程序及要求： 3.1达到验收要求的，由中标人协助采购人组织项目验收。 （1）各项验收文档准备齐全； （2）中标方提出验收申请，经建设单位同意； （3）通过第三方检测； （4）通过广东省社会治安视频监控系统建设协调领导小组办公室组织专家的验收； （5）通过紫金县政务服务数据管理局组织专家的验收。 3.2验收时需提交的成果文档包括： (1)需求文档：需求说明书； (2)设计文档：系统总体设计方案； (3)实施文档：系统建设方案 ； (4)系统维护文档：部署手册、系统管理员手册 ； (5)系统运维相关文档：系统运行管理制度等 ； (6)测试文档； (7)培训文档。 3.3国家有强制性规定的项目验收，按国家规定执行，验收报告作为申请付款的凭证之一。 3.4验收过程中产生纠纷的，由质量技术监督部门认定的检测机构检测,如为中标人原因造成的，由中标人承担检测费用；否则，由采购人承担。 3.5验收时如发现所交付的设备有短装、次品、损坏或其它不符合采购文件规定之情形者，采购人应做出详尽的现场记录，或由用户和中标人双方签署备忘录。此现场记录或备忘录可用作补充、缺失和更换损坏部件的有效证据。由此产生的有关费用由中标人承担。 4.验收内容：数量、型号、交货期等采购文件规定、投标(响应)文件承诺、合同约定的内容。 5.验收标准：按国家、地方或行业现行相关验收规范和评定标准执行。</w:t>
            </w:r>
          </w:p>
        </w:tc>
      </w:tr>
      <w:tr>
        <w:tc>
          <w:tcPr>
            <w:tcW w:type="dxa" w:w="4153"/>
          </w:tcPr>
          <w:p>
            <w:r>
              <w:rPr/>
              <w:t>履约保证金</w:t>
            </w:r>
          </w:p>
        </w:tc>
        <w:tc>
          <w:tcPr>
            <w:tcW w:type="dxa" w:w="4153"/>
          </w:tcPr>
          <w:p/>
          <w:p/>
          <w:p/>
          <w:p/>
          <w:p>
            <w:r>
              <w:rPr/>
              <w:t>收取比例：3%,说明：中标人按本合同总额的3%向采购人提交履约保证金。1.提交时间：中标人须在收到《中标通知书》后10个工作日内提交。否则，按中标人放弃中标资格处理。 2.提交方式：可以采用银行转账、支票、汇票、本票或者金融机构、担保机构出具的保函等非现金形式提交。 3.履约保证说明：如果中标人不按本合同的规定履行合同义务，采购人有权扣除履约保证金。履约保证金额不足以抵偿采购人损失的部分，采购人可向中标人进一步索赔。因中标人违约扣除履约保证金后，中标人应在30天内将扣除的履约保证金补交给采购人。中标人不按合同规定提交履约保证金的，视为中标人违约，采购人有权单方面解除合同且无需承担任何违约责任。4.履约保证金退还：中标人违约致使采购人单方解除合同的，除承担相应违约责任外，采购人还可以直接没收全部履约保证金，因中标人违约导致采购人因此造成一切损失的，由中标人承担。如中标人在完成所有设备及系统的安装调试过程中没有违约责任，在竣工验收合格之日起三十天内，采购人一次性足额、无息向中标人退还履约保证金</w:t>
            </w:r>
          </w:p>
          <w:p>
            <w:r>
              <w:rPr/>
              <w:t>履约保证金可以以履约保函（保险）形式提供，目前"广东政府采购智慧云平台金融服务中心(https://gdgpo.czt.gd.gov.cn/zcdservice/zcd/guangdong/)已实现电子履约保函（保险）在线办理功能，有意愿供应商可自行办理提供。</w:t>
            </w:r>
          </w:p>
        </w:tc>
      </w:tr>
      <w:tr>
        <w:tc>
          <w:tcPr>
            <w:tcW w:type="dxa" w:w="4153"/>
          </w:tcPr>
          <w:p>
            <w:r>
              <w:rPr/>
              <w:t>其他</w:t>
            </w:r>
          </w:p>
        </w:tc>
        <w:tc>
          <w:tcPr>
            <w:tcW w:type="dxa" w:w="4153"/>
          </w:tcPr>
          <w:p/>
          <w:p/>
          <w:p>
            <w:r>
              <w:rPr/>
              <w:t>1.报价要求，1.1本项目的报价和结算支付均以人民币为货币单位。 1.2本项目实行供货及安装工程总价包干，投标总价应包括货物购置费（含检验、试验、包装、运输、装卸、保险等）、安装调试费〔含人工、材料、机械、运输（吊装）、各种检测检验费用、总包服务费、保证正常安装所必需的各项费用（如安装用的水电费、辅助材料费及工程保险费用等）〕、资料收集、试运行、系统集成、项目相关部门验收费、技术培训费、技术文件（图纸、手册等）费、各项税费、管理费、提供售后服务相关的一切费用及合同实施过程中不可预见费用等完成本次招标采购项下的全部费用。以及投标人认为必要的其他货物、材料、工程、服务等费用。 1.3投标人应自行增加设备(货物)正常、合法、安全运行及使用所必须但采购文件没有包含的所有设备、版权、专利等一切费用。 1.4投标人的投标报价应包括单价和总价，总价是对应于采购人本次采购的所有内容所计算的总价，为合同总价；其填报的明细单价则应是投标人对本采购项目所包含的具体的货物、工程及服务进行详细列示的计算单价。 1.5投标人的投标报价总额不得高于采购预算，否则其投标无效。 1.6投标人应被认为在填报投标报价之前，已经仔细阅读了本招标文件的所有有关章节以及审查了所有相关资料，已确保本次招标的所有招标范围内的各种价格风险均已包含在投标报价内。开标后，任何因投标人的疏漏而提出的不利于采购人的合同单价调价申请将不被接受。 1.7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
            <w:r>
              <w:rPr/>
              <w:t>2.质量标准，2.1中标人所投货物必须是厂商原装的、全新的、型号、性能及指标符合或优于国家及磋商文件提出的有关技术、质量、安全标准、要求的货物。 2.2所投货物必须符合国家质量检测标准和专业设备检测标准。 2.3设备包装均应有良好的防湿、防锈、防潮、防雨、防腐及防碰撞的措施。凡由于包装不良造成的损失和由此产生的费用均由中标人承担。 2.4设备外观清洁，标记编号以及盘面显示等字体清晰，明确。 2.5对于影响设备正常工作的必要组成部分，无论在技术规范中指出与否，投标人都应提供在投标文件中明确列出。 2.6所投产品必须是在中国范围内合法销售，并完全符合用户要求的产品。 2.7中标人应提供包括但不限于满足设备安装、使用和维护的技术文件，如设备和附件箱清单、质量合格检验证明文件、保修服务卡。</w:t>
            </w:r>
          </w:p>
          <w:p/>
          <w:p>
            <w:r>
              <w:rPr/>
              <w:t>3.运输及保管、保险，3.1中标人负责根据各品目不同的安装地点，将设备材料送到现场过程中的全部运输；包括装卸车、货物现场的搬运、设备的安装、调试等。 3.2设备必须提供装箱清单，按装箱清单验收货物。 3.3设备在现场的保管由中标人负责，直至项目安装、验收完毕。 3.4设备在安装调试验收合格前的保险由中标人负责，中标人负责其派出的现场服务人员人身意外保险。</w:t>
            </w:r>
          </w:p>
          <w:p/>
          <w:p>
            <w:r>
              <w:rPr/>
              <w:t>4.安装调试，4.1安装、调试必须按照国家标准和行业规范进行。 4.2安装：中标人负责到各品目不同的指定地点进行安装调试。中标人应提交详细安装进度表。中标人应设安装负责人，负责安装协调管理工作。安装所需工具设施物料由中标人自备、自费运到现场，完工后自费搬走。 4.3调试：按国家相关施工验收规范进行，分阶段进行调试。设备的拆箱、安装、通电、调试等项工作由中标人负责，但必须在采购人指定人员的参与下进行。调试的原始记录须经各方签字后作为验收的文件之一。 4.4投标人所提供的设备如在实际供货时已经废型，则中标人必须用供货时该厂家的最新产品提供给采购人单位，其性能指标不得低于所报设备，并且价格不变。 4.5中标人须对货物设计、制造、安装以及使用过程中的一切质量问题承担责任。 4.6货物的安装、改造、维修活动结束后，中标人应当按照项目要求或安全技术规范的要求对货物进行校验和调试，并对校验和调试结果负责。 4.7中标人所提供货物安装调试及保养维修服务的队伍必须有足够能力承担货物的安装工程，并能保证安装的货物运行合格和施工安全要求。 4.8中标人应保证在接到采购人进场安装通知后，才把货物运到安装现场进行安装，并且会同采购人进行初步的外观检查，货物由中标人负责保管，并且允许采购人随时进场抽检。 4.9中标人在供货及安装过程中，必须服从采购人的计划安排和整体协调。 4.10安装期间，中标人为本项目派出的服务人员须遵守采购人有关制度，因本项目安装等相关工作引起的消防事故或人员伤亡事故，由中标人承担一切经济、法律责任。</w:t>
            </w:r>
          </w:p>
          <w:p/>
          <w:p>
            <w:r>
              <w:rPr/>
              <w:t>5.培训要求，中标人须派遣有经验的技术人员或工程师，前往采购人单位进行优质的培训服务。对货物的使用、操作、注意事项和维修进行免费培训，并提供安装使用维护说明书，确保采购人能够对货物有足够的了解和熟悉，能够独立进行设备的日常维护、保养，培训的一切资料由中标人免费提供。</w:t>
            </w:r>
          </w:p>
          <w:p/>
          <w:p>
            <w:r>
              <w:rPr/>
              <w:t>6.运营维护期及售后服务要求，6.1运营维护期：从项目验收合格之日起计算，本项目运营维护期不少于3年（36个月）。 6.2售后服务要求：中标人须提供7*24小时热线服务和长期的免费技术支持。对用户的服务通知，应在接报后半小时内作出故障响应，一般故障在12小时内解决，重大故障在24小时内解决，恢复系统正常运行，除特殊情况外。 6.3中标人在质保期内要对货物本身质量造成的问题实行免费三包（保修、包换、包赔）；若主要部件或设备在此期间因质量问题更换零部件价值超过设备总价的5%，则该类部件或设备的质保期从更换之日起顺延。任何时候，中标人均不能免除因设备本身的缺陷所应负的责任。 6.4运维期内，中标人提供的所有的服务方式均须为上门服务。对在正常情况下的维护保养、设备零部件更换，以及对非人为因素情况下，一切维修换件保养费用和备品备件均由投标人免费提供；如由于火灾、水灾、地震等不可抗拒原因及用户人为破坏因素造成的损坏，中标人应提供免工费维修服务，设备的材料成本则由采购人承担。 6.5保修期间内同一硬件一个月内连续3次出现同一故障，供货商须无偿更换同一档次设备。 6.6中标人应提供交货地点所在用户的设备维修电话及联系人，用户报修后，用户所在地的维修部，须在规定的时间内派人员上门现场维护，并在规定时间内解决问题。在规定时间内不能解决问题的设备，应提供不低于故障产品档次的设备给用户使用，直至故障设备修复。投标人须在售后服务承诺中承诺到场维修的时间。 6.7运维期过后，中标人应按其在广东地区同类项目的最优惠价格提供终生维修和定期检测，并提供免费技术咨询；如须更换故障零部件，则应按最优惠的价格收取费用。</w:t>
            </w:r>
          </w:p>
          <w:p/>
          <w:p>
            <w:r>
              <w:rPr/>
              <w:t>7.施工及运行维护安全要求，7.1施工安全要求：中标人在工程建设阶段必须按照国家及行业相关安全法律法规组织施工，确保不发生安全事故。如发生施工安全事故，由中标人承担所有责任。 7.2运行维护安全要求：中标人必须遵照国家及行业相关安全法律法规组织日常系统运行维护，确保不发生安全事故。如发生安全事故，由中标人承担所有责任。</w:t>
            </w:r>
          </w:p>
          <w:p/>
          <w:p>
            <w:r>
              <w:rPr/>
              <w:t>8.现场踏勘及答疑会，本项目不举行现场踏勘及答疑会，投标人如有疑问，可以书面形式在规定时间内直接向采购人或采购代理机构提出澄清要求。</w:t>
            </w:r>
          </w:p>
          <w:p/>
          <w:p>
            <w:r>
              <w:rPr/>
              <w:t>9.保密要求，因本项目涉及到公安内部信息系统数据库及网络，中标人在项目实施过程中须严格遵守采购人相关信息安全及签订保密协议，中标人必须对项目实施过程中涉及的国家机密、公安工作秘密、业务需求、协议、系统设计、技术成果等内容和相关事务保密，严格遵守保密协议的相关规定。项目验收后，中标人应将本项目所有资料移交给采购人，不允许保留相关材料。否则，采购人有权追究中标人的相关法律责任。</w:t>
            </w:r>
          </w:p>
          <w:p/>
          <w:p>
            <w:r>
              <w:rPr/>
              <w:t>10.其它要求，10.1建设及运维管理模式：本项目采用一次性投资建设方式。项目验收合格后系统由河源市紫金县公安局管理使用，中标人负责系统运维管理。 10.2中标人未经采购人许可，不得在前端杆件上安装本项目以外的其他设备，否则采购人有权拆除，由此造成的损失由中标人承担。 10.3其余未尽事项由采购单位和中标供应商在签订合同时商定补充。</w:t>
            </w:r>
          </w:p>
        </w:tc>
      </w:tr>
    </w:tbl>
    <w:p>
      <w:r>
        <w:rPr>
          <w:b/>
        </w:rPr>
        <w:t>2.技术标准与要求</w:t>
      </w:r>
    </w:p>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jc w:val="center"/>
            </w:pPr>
            <w:r>
              <w:rPr/>
              <w:t>序号</w:t>
            </w:r>
          </w:p>
        </w:tc>
        <w:tc>
          <w:tcPr>
            <w:tcW w:type="dxa" w:w="933"/>
          </w:tcPr>
          <w:p>
            <w:pPr>
              <w:jc w:val="center"/>
            </w:pPr>
            <w:r>
              <w:rPr/>
              <w:t>品目名称</w:t>
            </w:r>
          </w:p>
        </w:tc>
        <w:tc>
          <w:tcPr>
            <w:tcW w:type="dxa" w:w="933"/>
          </w:tcPr>
          <w:p>
            <w:pPr>
              <w:jc w:val="center"/>
            </w:pPr>
            <w:r>
              <w:rPr/>
              <w:t>标的名称</w:t>
            </w:r>
          </w:p>
        </w:tc>
        <w:tc>
          <w:tcPr>
            <w:tcW w:type="dxa" w:w="933"/>
          </w:tcPr>
          <w:p>
            <w:pPr>
              <w:jc w:val="center"/>
            </w:pPr>
            <w:r>
              <w:rPr/>
              <w:t>单位</w:t>
            </w:r>
          </w:p>
        </w:tc>
        <w:tc>
          <w:tcPr>
            <w:tcW w:type="dxa" w:w="933"/>
          </w:tcPr>
          <w:p>
            <w:pPr>
              <w:jc w:val="center"/>
            </w:pPr>
            <w:r>
              <w:rPr/>
              <w:t>数量</w:t>
            </w:r>
          </w:p>
        </w:tc>
        <w:tc>
          <w:tcPr>
            <w:tcW w:type="dxa" w:w="933"/>
          </w:tcPr>
          <w:p>
            <w:pPr>
              <w:jc w:val="center"/>
            </w:pPr>
            <w:r>
              <w:rPr/>
              <w:t>分项预算单价（元）</w:t>
            </w:r>
          </w:p>
        </w:tc>
        <w:tc>
          <w:tcPr>
            <w:tcW w:type="dxa" w:w="933"/>
          </w:tcPr>
          <w:p>
            <w:pPr>
              <w:jc w:val="center"/>
            </w:pPr>
            <w:r>
              <w:rPr/>
              <w:t>分项预算总价（元）</w:t>
            </w:r>
          </w:p>
        </w:tc>
        <w:tc>
          <w:tcPr>
            <w:tcW w:type="dxa" w:w="840"/>
          </w:tcPr>
          <w:p>
            <w:r>
              <w:rPr/>
              <w:t>所属行业</w:t>
            </w:r>
          </w:p>
        </w:tc>
        <w:tc>
          <w:tcPr>
            <w:tcW w:type="dxa" w:w="933"/>
          </w:tcPr>
          <w:p>
            <w:pPr>
              <w:jc w:val="center"/>
            </w:pPr>
            <w:r>
              <w:rPr/>
              <w:t>技术要求</w:t>
            </w:r>
          </w:p>
        </w:tc>
      </w:tr>
      <w:tr>
        <w:tc>
          <w:tcPr>
            <w:tcW w:type="dxa" w:w="933"/>
          </w:tcPr>
          <w:p>
            <w:pPr>
              <w:jc w:val="center"/>
            </w:pPr>
            <w:r>
              <w:rPr/>
              <w:t>1</w:t>
            </w:r>
          </w:p>
        </w:tc>
        <w:tc>
          <w:tcPr>
            <w:tcW w:type="dxa" w:w="933"/>
          </w:tcPr>
          <w:p>
            <w:pPr>
              <w:jc w:val="left"/>
            </w:pPr>
            <w:r>
              <w:rPr/>
              <w:t>其他系统集成实施服务</w:t>
            </w:r>
          </w:p>
        </w:tc>
        <w:tc>
          <w:tcPr>
            <w:tcW w:type="dxa" w:w="933"/>
          </w:tcPr>
          <w:p>
            <w:pPr>
              <w:jc w:val="left"/>
            </w:pPr>
            <w:r>
              <w:rPr/>
              <w:t>紫金县平安乡村智慧视频项目</w:t>
            </w:r>
          </w:p>
        </w:tc>
        <w:tc>
          <w:tcPr>
            <w:tcW w:type="dxa" w:w="933"/>
          </w:tcPr>
          <w:p>
            <w:pPr>
              <w:jc w:val="left"/>
            </w:pPr>
            <w:r>
              <w:rPr/>
              <w:t>项</w:t>
            </w:r>
          </w:p>
        </w:tc>
        <w:tc>
          <w:tcPr>
            <w:tcW w:type="dxa" w:w="933"/>
          </w:tcPr>
          <w:p>
            <w:pPr>
              <w:jc w:val="right"/>
            </w:pPr>
            <w:r>
              <w:rPr/>
              <w:t>1.00</w:t>
            </w:r>
          </w:p>
        </w:tc>
        <w:tc>
          <w:tcPr>
            <w:tcW w:type="dxa" w:w="933"/>
          </w:tcPr>
          <w:p>
            <w:pPr>
              <w:jc w:val="right"/>
            </w:pPr>
            <w:r>
              <w:rPr/>
              <w:t>4,851,920.12</w:t>
            </w:r>
          </w:p>
        </w:tc>
        <w:tc>
          <w:tcPr>
            <w:tcW w:type="dxa" w:w="933"/>
          </w:tcPr>
          <w:p>
            <w:pPr>
              <w:jc w:val="right"/>
            </w:pPr>
            <w:r>
              <w:rPr/>
              <w:t>4,851,920.12</w:t>
            </w:r>
          </w:p>
        </w:tc>
        <w:tc>
          <w:tcPr>
            <w:tcW w:type="dxa" w:w="840"/>
          </w:tcPr>
          <w:p>
            <w:r>
              <w:rPr/>
              <w:t>软件和信息技术服务业</w:t>
            </w:r>
          </w:p>
        </w:tc>
        <w:tc>
          <w:tcPr>
            <w:tcW w:type="dxa" w:w="933"/>
          </w:tcPr>
          <w:p>
            <w:r>
              <w:rPr/>
              <w:t>详见附表一</w:t>
            </w:r>
          </w:p>
        </w:tc>
      </w:tr>
    </w:tbl>
    <w:p/>
    <w:p>
      <w:r>
        <w:rPr>
          <w:b/>
        </w:rPr>
        <w:t>附表</w:t>
      </w:r>
      <w:r>
        <w:rPr>
          <w:b/>
        </w:rPr>
        <w:t>一</w:t>
      </w:r>
      <w:r>
        <w:rPr>
          <w:b/>
        </w:rPr>
        <w:t>：</w:t>
      </w:r>
      <w:r>
        <w:rPr>
          <w:b/>
        </w:rPr>
        <w:t>紫金县平安乡村智慧视频项目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tbl>
            <w:tblPr>
              <w:tblBorders>
                <w:top w:val="none" w:color="000000" w:sz="4"/>
                <w:left w:val="none" w:color="000000" w:sz="4"/>
                <w:bottom w:val="none" w:color="000000" w:sz="4"/>
                <w:right w:val="none" w:color="000000" w:sz="4"/>
                <w:insideH w:val="none"/>
                <w:insideV w:val="none"/>
              </w:tblBorders>
            </w:tblPr>
            <w:tblGrid>
              <w:gridCol w:w="302"/>
              <w:gridCol w:w="815"/>
              <w:gridCol w:w="2987"/>
              <w:gridCol w:w="467"/>
              <w:gridCol w:w="357"/>
              <w:gridCol w:w="669"/>
            </w:tblGrid>
            <w:tr>
              <w:tc>
                <w:tcPr>
                  <w:tcW w:type="dxa" w:w="302"/>
                  <w:tcBorders>
                    <w:top w:val="single" w:color="000000" w:sz="4"/>
                    <w:left w:val="single" w:color="000000" w:sz="4"/>
                    <w:bottom w:val="single" w:color="000000" w:sz="4"/>
                    <w:right w:val="single" w:color="000000" w:sz="4"/>
                  </w:tcBorders>
                  <w:vAlign w:val="top"/>
                </w:tcPr>
                <w:p>
                  <w:pPr>
                    <w:jc w:val="center"/>
                  </w:pPr>
                  <w:r>
                    <w:rPr>
                      <w:b/>
                      <w:sz w:val="21"/>
                    </w:rPr>
                    <w:t>序号</w:t>
                  </w:r>
                </w:p>
              </w:tc>
              <w:tc>
                <w:tcPr>
                  <w:tcW w:type="dxa" w:w="815"/>
                  <w:tcBorders>
                    <w:top w:val="single" w:color="000000" w:sz="4"/>
                    <w:left w:val="none" w:color="000000" w:sz="4"/>
                    <w:bottom w:val="single" w:color="000000" w:sz="4"/>
                    <w:right w:val="single" w:color="000000" w:sz="4"/>
                  </w:tcBorders>
                  <w:vAlign w:val="top"/>
                </w:tcPr>
                <w:p>
                  <w:pPr>
                    <w:jc w:val="center"/>
                  </w:pPr>
                  <w:r>
                    <w:rPr>
                      <w:b/>
                      <w:sz w:val="21"/>
                    </w:rPr>
                    <w:t>设备名称</w:t>
                  </w:r>
                </w:p>
              </w:tc>
              <w:tc>
                <w:tcPr>
                  <w:tcW w:type="dxa" w:w="2987"/>
                  <w:tcBorders>
                    <w:top w:val="single" w:color="000000" w:sz="4"/>
                    <w:left w:val="none" w:color="000000" w:sz="4"/>
                    <w:bottom w:val="single" w:color="000000" w:sz="4"/>
                    <w:right w:val="single" w:color="000000" w:sz="4"/>
                  </w:tcBorders>
                  <w:vAlign w:val="top"/>
                </w:tcPr>
                <w:p>
                  <w:pPr>
                    <w:jc w:val="center"/>
                  </w:pPr>
                  <w:r>
                    <w:rPr>
                      <w:b/>
                      <w:sz w:val="21"/>
                    </w:rPr>
                    <w:t>规格参数</w:t>
                  </w:r>
                </w:p>
              </w:tc>
              <w:tc>
                <w:tcPr>
                  <w:tcW w:type="dxa" w:w="467"/>
                  <w:tcBorders>
                    <w:top w:val="single" w:color="000000" w:sz="4"/>
                    <w:left w:val="none" w:color="000000" w:sz="4"/>
                    <w:bottom w:val="single" w:color="000000" w:sz="4"/>
                    <w:right w:val="single" w:color="000000" w:sz="4"/>
                  </w:tcBorders>
                  <w:vAlign w:val="top"/>
                </w:tcPr>
                <w:p>
                  <w:pPr>
                    <w:jc w:val="center"/>
                  </w:pPr>
                  <w:r>
                    <w:rPr>
                      <w:b/>
                      <w:sz w:val="21"/>
                    </w:rPr>
                    <w:t>数量</w:t>
                  </w:r>
                </w:p>
              </w:tc>
              <w:tc>
                <w:tcPr>
                  <w:tcW w:type="dxa" w:w="357"/>
                  <w:tcBorders>
                    <w:top w:val="single" w:color="000000" w:sz="4"/>
                    <w:left w:val="none" w:color="000000" w:sz="4"/>
                    <w:bottom w:val="single" w:color="000000" w:sz="4"/>
                    <w:right w:val="single" w:color="000000" w:sz="4"/>
                  </w:tcBorders>
                  <w:vAlign w:val="top"/>
                </w:tcPr>
                <w:p>
                  <w:pPr>
                    <w:jc w:val="center"/>
                  </w:pPr>
                  <w:r>
                    <w:rPr>
                      <w:b/>
                      <w:sz w:val="21"/>
                    </w:rPr>
                    <w:t>单位</w:t>
                  </w:r>
                </w:p>
              </w:tc>
              <w:tc>
                <w:tcPr>
                  <w:tcW w:type="dxa" w:w="669"/>
                  <w:tcBorders>
                    <w:top w:val="single" w:color="000000" w:sz="4"/>
                    <w:left w:val="none" w:color="000000" w:sz="4"/>
                    <w:bottom w:val="single" w:color="000000" w:sz="4"/>
                    <w:right w:val="single" w:color="000000" w:sz="4"/>
                  </w:tcBorders>
                  <w:vAlign w:val="top"/>
                </w:tcPr>
                <w:p>
                  <w:pPr>
                    <w:jc w:val="center"/>
                  </w:pPr>
                  <w:r>
                    <w:rPr>
                      <w:b/>
                      <w:sz w:val="21"/>
                    </w:rPr>
                    <w:t>备注</w:t>
                  </w:r>
                </w:p>
              </w:tc>
            </w:tr>
            <w:tr>
              <w:tc>
                <w:tcPr>
                  <w:tcW w:type="dxa" w:w="302"/>
                  <w:tcBorders>
                    <w:top w:val="none" w:color="000000" w:sz="4"/>
                    <w:left w:val="single" w:color="000000" w:sz="4"/>
                    <w:bottom w:val="single" w:color="000000" w:sz="4"/>
                    <w:right w:val="single" w:color="000000" w:sz="4"/>
                  </w:tcBorders>
                  <w:vAlign w:val="top"/>
                </w:tcPr>
                <w:p>
                  <w:pPr>
                    <w:jc w:val="center"/>
                  </w:pPr>
                  <w:r>
                    <w:rPr>
                      <w:sz w:val="21"/>
                    </w:rPr>
                    <w:t>1</w:t>
                  </w:r>
                </w:p>
              </w:tc>
              <w:tc>
                <w:tcPr>
                  <w:tcW w:type="dxa" w:w="815"/>
                  <w:tcBorders>
                    <w:top w:val="none" w:color="000000" w:sz="4"/>
                    <w:left w:val="none" w:color="000000" w:sz="4"/>
                    <w:bottom w:val="single" w:color="000000" w:sz="4"/>
                    <w:right w:val="single" w:color="000000" w:sz="4"/>
                  </w:tcBorders>
                  <w:vAlign w:val="top"/>
                </w:tcPr>
                <w:p>
                  <w:pPr>
                    <w:jc w:val="center"/>
                  </w:pPr>
                  <w:r>
                    <w:rPr>
                      <w:sz w:val="21"/>
                    </w:rPr>
                    <w:t>和家园视频监控采集服务</w:t>
                  </w:r>
                  <w:r>
                    <w:rPr>
                      <w:sz w:val="21"/>
                    </w:rPr>
                    <w:t>(A型)</w:t>
                  </w:r>
                </w:p>
              </w:tc>
              <w:tc>
                <w:tcPr>
                  <w:tcW w:type="dxa" w:w="2987"/>
                  <w:tcBorders>
                    <w:top w:val="none" w:color="000000" w:sz="4"/>
                    <w:left w:val="none" w:color="000000" w:sz="4"/>
                    <w:bottom w:val="single" w:color="000000" w:sz="4"/>
                    <w:right w:val="single" w:color="000000" w:sz="4"/>
                  </w:tcBorders>
                  <w:vAlign w:val="top"/>
                </w:tcPr>
                <w:p>
                  <w:pPr>
                    <w:jc w:val="left"/>
                  </w:pPr>
                  <w:r>
                    <w:rPr>
                      <w:b/>
                      <w:sz w:val="21"/>
                    </w:rPr>
                    <w:t>一、服务内容</w:t>
                  </w:r>
                  <w:r>
                    <w:rPr>
                      <w:b/>
                      <w:sz w:val="21"/>
                    </w:rPr>
                    <w:t>：</w:t>
                  </w:r>
                </w:p>
                <w:p>
                  <w:pPr>
                    <w:jc w:val="left"/>
                  </w:pPr>
                  <w:r>
                    <w:rPr>
                      <w:sz w:val="21"/>
                    </w:rPr>
                    <w:t>1</w:t>
                  </w:r>
                  <w:r>
                    <w:rPr>
                      <w:sz w:val="21"/>
                    </w:rPr>
                    <w:t>、</w:t>
                  </w:r>
                  <w:r>
                    <w:rPr>
                      <w:sz w:val="21"/>
                    </w:rPr>
                    <w:t>A型号摄像机一个；</w:t>
                  </w:r>
                </w:p>
                <w:p>
                  <w:pPr>
                    <w:jc w:val="left"/>
                  </w:pPr>
                  <w:r>
                    <w:rPr>
                      <w:sz w:val="21"/>
                    </w:rPr>
                    <w:t>2</w:t>
                  </w:r>
                  <w:r>
                    <w:rPr>
                      <w:sz w:val="21"/>
                    </w:rPr>
                    <w:t>、</w:t>
                  </w:r>
                  <w:r>
                    <w:rPr>
                      <w:sz w:val="21"/>
                    </w:rPr>
                    <w:t>防盗和异常行为检测预警；</w:t>
                  </w:r>
                </w:p>
                <w:p>
                  <w:pPr>
                    <w:jc w:val="left"/>
                  </w:pPr>
                  <w:r>
                    <w:rPr>
                      <w:sz w:val="21"/>
                    </w:rPr>
                    <w:t>3</w:t>
                  </w:r>
                  <w:r>
                    <w:rPr>
                      <w:sz w:val="21"/>
                    </w:rPr>
                    <w:t>、</w:t>
                  </w:r>
                  <w:r>
                    <w:rPr>
                      <w:sz w:val="21"/>
                    </w:rPr>
                    <w:t>质保三年，</w:t>
                  </w:r>
                  <w:r>
                    <w:rPr>
                      <w:sz w:val="21"/>
                    </w:rPr>
                    <w:t>30天存储记录；</w:t>
                  </w:r>
                </w:p>
                <w:p>
                  <w:pPr>
                    <w:jc w:val="left"/>
                  </w:pPr>
                  <w:r>
                    <w:rPr>
                      <w:sz w:val="21"/>
                    </w:rPr>
                    <w:t>4</w:t>
                  </w:r>
                  <w:r>
                    <w:rPr>
                      <w:sz w:val="21"/>
                    </w:rPr>
                    <w:t>、</w:t>
                  </w:r>
                  <w:r>
                    <w:rPr>
                      <w:sz w:val="21"/>
                    </w:rPr>
                    <w:t>包安装，三年维护；</w:t>
                  </w:r>
                </w:p>
                <w:p>
                  <w:pPr>
                    <w:jc w:val="left"/>
                  </w:pPr>
                  <w:r>
                    <w:rPr>
                      <w:sz w:val="21"/>
                    </w:rPr>
                    <w:t>5</w:t>
                  </w:r>
                  <w:r>
                    <w:rPr>
                      <w:sz w:val="21"/>
                    </w:rPr>
                    <w:t>、</w:t>
                  </w:r>
                  <w:r>
                    <w:rPr>
                      <w:sz w:val="21"/>
                    </w:rPr>
                    <w:t>网络及光猫设备（户外型）；</w:t>
                  </w:r>
                </w:p>
                <w:p>
                  <w:pPr>
                    <w:jc w:val="left"/>
                  </w:pPr>
                  <w:r>
                    <w:rPr>
                      <w:sz w:val="21"/>
                    </w:rPr>
                    <w:t>6、含设备箱及必要配件；</w:t>
                  </w:r>
                </w:p>
                <w:p>
                  <w:pPr>
                    <w:jc w:val="left"/>
                  </w:pPr>
                  <w:r>
                    <w:rPr>
                      <w:sz w:val="21"/>
                    </w:rPr>
                    <w:t>7</w:t>
                  </w:r>
                  <w:r>
                    <w:rPr>
                      <w:sz w:val="21"/>
                    </w:rPr>
                    <w:t>、</w:t>
                  </w:r>
                  <w:r>
                    <w:rPr>
                      <w:sz w:val="21"/>
                    </w:rPr>
                    <w:t>0.5~2米横臂</w:t>
                  </w:r>
                  <w:r>
                    <w:rPr>
                      <w:sz w:val="21"/>
                    </w:rPr>
                    <w:t>。</w:t>
                  </w:r>
                </w:p>
                <w:p>
                  <w:pPr>
                    <w:jc w:val="left"/>
                  </w:pPr>
                  <w:r>
                    <w:rPr>
                      <w:b/>
                      <w:sz w:val="21"/>
                    </w:rPr>
                    <w:t>二、摄像头参数</w:t>
                  </w:r>
                  <w:r>
                    <w:rPr>
                      <w:b/>
                      <w:sz w:val="21"/>
                    </w:rPr>
                    <w:t>：</w:t>
                  </w:r>
                </w:p>
                <w:p>
                  <w:pPr>
                    <w:jc w:val="left"/>
                  </w:pPr>
                  <w:r>
                    <w:rPr>
                      <w:sz w:val="21"/>
                    </w:rPr>
                    <w:t>1、采用超星光超低照度400万像素1/1.8英寸CMOS图像传感器，低照度效果好，图像清晰度高</w:t>
                  </w:r>
                  <w:r>
                    <w:rPr>
                      <w:sz w:val="21"/>
                    </w:rPr>
                    <w:t>；</w:t>
                  </w:r>
                </w:p>
                <w:p>
                  <w:pPr>
                    <w:jc w:val="left"/>
                  </w:pPr>
                  <w:r>
                    <w:rPr>
                      <w:sz w:val="21"/>
                    </w:rPr>
                    <w:t>2、可输出400万（2688×1520）@25fps</w:t>
                  </w:r>
                  <w:r>
                    <w:rPr>
                      <w:sz w:val="21"/>
                    </w:rPr>
                    <w:t>；</w:t>
                  </w:r>
                </w:p>
                <w:p>
                  <w:pPr>
                    <w:jc w:val="left"/>
                  </w:pPr>
                  <w:r>
                    <w:rPr>
                      <w:sz w:val="21"/>
                    </w:rPr>
                    <w:t>▲3、可通过5个IE浏览器同时浏览主码流2688×1520(25fps)、子码流704×576(25fps)、第三码流1920×1080(25fps)、第四码流704×576(25fps)、第五码流704×576(25fps)的视频图像；</w:t>
                  </w:r>
                  <w:r>
                    <w:rPr>
                      <w:b/>
                      <w:sz w:val="21"/>
                    </w:rPr>
                    <w:t>（提供公安部有效检测报告复印件并加盖原厂公章或投标专用章）</w:t>
                  </w:r>
                </w:p>
                <w:p>
                  <w:pPr>
                    <w:jc w:val="left"/>
                  </w:pPr>
                  <w:r>
                    <w:rPr>
                      <w:sz w:val="21"/>
                    </w:rPr>
                    <w:t>4、</w:t>
                  </w:r>
                  <w:r>
                    <w:rPr>
                      <w:sz w:val="21"/>
                    </w:rPr>
                    <w:t>最低照度</w:t>
                  </w:r>
                  <w:r>
                    <w:rPr>
                      <w:sz w:val="21"/>
                    </w:rPr>
                    <w:t>0.001Lux（彩色模式）；0.0001Lux（黑白模式）；0Lux（补光灯开启）；</w:t>
                  </w:r>
                </w:p>
                <w:p>
                  <w:pPr>
                    <w:jc w:val="left"/>
                  </w:pPr>
                  <w:r>
                    <w:rPr>
                      <w:sz w:val="21"/>
                    </w:rPr>
                    <w:t>▲5、水平中心分辨力不小于1500TVL；</w:t>
                  </w:r>
                  <w:r>
                    <w:rPr>
                      <w:b/>
                      <w:sz w:val="21"/>
                    </w:rPr>
                    <w:t>（提供公安部有效检测报告复印件并加盖原厂公章或投标专用章）</w:t>
                  </w:r>
                </w:p>
                <w:p>
                  <w:pPr>
                    <w:jc w:val="left"/>
                  </w:pPr>
                  <w:r>
                    <w:rPr>
                      <w:sz w:val="21"/>
                    </w:rPr>
                    <w:t>6、</w:t>
                  </w:r>
                  <w:r>
                    <w:rPr>
                      <w:sz w:val="21"/>
                    </w:rPr>
                    <w:t>内置高效暖光灯，最大补光距离</w:t>
                  </w:r>
                  <w:r>
                    <w:rPr>
                      <w:sz w:val="21"/>
                    </w:rPr>
                    <w:t>35m（人脸检测距离），65m（视频监控距离）；</w:t>
                  </w:r>
                </w:p>
                <w:p>
                  <w:pPr>
                    <w:jc w:val="left"/>
                  </w:pPr>
                  <w:r>
                    <w:rPr>
                      <w:sz w:val="21"/>
                    </w:rPr>
                    <w:t>▲7、采用一体化补光结构；</w:t>
                  </w:r>
                  <w:r>
                    <w:rPr>
                      <w:b/>
                      <w:sz w:val="21"/>
                    </w:rPr>
                    <w:t>（提供公安部有效检测报告复印件并加盖原厂公章或投标专用章）</w:t>
                  </w:r>
                  <w:r>
                    <w:br/>
                  </w:r>
                  <w:r>
                    <w:rPr>
                      <w:sz w:val="21"/>
                    </w:rPr>
                    <w:t>▲8、补光灯开启后，无明显波纹状、圆环状、麻点状、条纹状及不规则亮斑；</w:t>
                  </w:r>
                  <w:r>
                    <w:rPr>
                      <w:b/>
                      <w:sz w:val="21"/>
                    </w:rPr>
                    <w:t>（提供公安部有效检测报告复印件并加盖原厂公章或投标专用章）</w:t>
                  </w:r>
                  <w:r>
                    <w:br/>
                  </w:r>
                  <w:r>
                    <w:rPr>
                      <w:sz w:val="21"/>
                    </w:rPr>
                    <w:t>▲9、补光灯表面为微四边形阵列，采用多层透镜结构；</w:t>
                  </w:r>
                  <w:r>
                    <w:rPr>
                      <w:b/>
                      <w:sz w:val="21"/>
                    </w:rPr>
                    <w:t>（提供公安部有效检测报告复印件并加盖原厂公章或投标专用章）</w:t>
                  </w:r>
                </w:p>
                <w:p>
                  <w:pPr>
                    <w:jc w:val="left"/>
                  </w:pPr>
                  <w:r>
                    <w:rPr>
                      <w:sz w:val="21"/>
                    </w:rPr>
                    <w:t>10、</w:t>
                  </w:r>
                  <w:r>
                    <w:rPr>
                      <w:sz w:val="21"/>
                    </w:rPr>
                    <w:t>人脸检测；支持同时检测</w:t>
                  </w:r>
                  <w:r>
                    <w:rPr>
                      <w:sz w:val="21"/>
                    </w:rPr>
                    <w:t>32张人脸，对运动人脸进行检测、跟踪、抓拍、优选，输出最优的人脸抓图；支持人脸增强，人脸曝光，人脸属性提取</w:t>
                  </w:r>
                  <w:r>
                    <w:rPr>
                      <w:sz w:val="21"/>
                    </w:rPr>
                    <w:t>；</w:t>
                  </w:r>
                </w:p>
                <w:p>
                  <w:pPr>
                    <w:jc w:val="left"/>
                  </w:pPr>
                  <w:r>
                    <w:rPr>
                      <w:sz w:val="21"/>
                    </w:rPr>
                    <w:t>▲11、支持在IE浏览器上显示人脸属性、人脸抓拍图片、人脸比对结果、机动车抓拍图片、非机动车抓拍图片和人体抓拍图片；</w:t>
                  </w:r>
                  <w:r>
                    <w:rPr>
                      <w:b/>
                      <w:sz w:val="21"/>
                    </w:rPr>
                    <w:t>（提供公安部有效检测报告复印件并加盖原厂公章或投标专用章）</w:t>
                  </w:r>
                  <w:r>
                    <w:br/>
                  </w:r>
                  <w:r>
                    <w:rPr>
                      <w:sz w:val="21"/>
                    </w:rPr>
                    <w:t>▲12、支持在人脸识别模式下，设备可开启隐私保护功能，对人脸或人体进行跟踪马赛克处理；</w:t>
                  </w:r>
                  <w:r>
                    <w:rPr>
                      <w:b/>
                      <w:sz w:val="21"/>
                    </w:rPr>
                    <w:t>（提供公安部有效检测报告复印件并加盖原厂公章或投标专用章）</w:t>
                  </w:r>
                </w:p>
                <w:p>
                  <w:pPr>
                    <w:jc w:val="left"/>
                  </w:pPr>
                  <w:r>
                    <w:rPr>
                      <w:sz w:val="21"/>
                    </w:rPr>
                    <w:t>13、</w:t>
                  </w:r>
                  <w:r>
                    <w:rPr>
                      <w:sz w:val="21"/>
                    </w:rPr>
                    <w:t>车辆检测；支持正向</w:t>
                  </w:r>
                  <w:r>
                    <w:rPr>
                      <w:sz w:val="21"/>
                    </w:rPr>
                    <w:t>/背向行驶车辆抓拍，支持车牌、车牌颜色、车标、车系、车身颜色、车辆类型；支持行人、非机动车、机动车的混行检测</w:t>
                  </w:r>
                  <w:r>
                    <w:rPr>
                      <w:sz w:val="21"/>
                    </w:rPr>
                    <w:t>；</w:t>
                  </w:r>
                </w:p>
                <w:p>
                  <w:pPr>
                    <w:jc w:val="left"/>
                  </w:pPr>
                  <w:r>
                    <w:rPr>
                      <w:sz w:val="21"/>
                    </w:rPr>
                    <w:t>▲14、支持非机动车信息叠加功能，可在抓拍图片上叠加车牌、车辆类型、车身颜色、车牌颜色等信息；</w:t>
                  </w:r>
                  <w:r>
                    <w:rPr>
                      <w:b/>
                      <w:sz w:val="21"/>
                    </w:rPr>
                    <w:t>（提供公安部有效检测报告复印件并加盖原厂公章或投标专用章）</w:t>
                  </w:r>
                  <w:r>
                    <w:br/>
                  </w:r>
                  <w:r>
                    <w:rPr>
                      <w:sz w:val="21"/>
                    </w:rPr>
                    <w:t>▲15、支持机动车占道检测，当检测区域出现机动车在非机动道占道行驶时，设备可进行检测并报警；</w:t>
                  </w:r>
                  <w:r>
                    <w:rPr>
                      <w:b/>
                      <w:sz w:val="21"/>
                    </w:rPr>
                    <w:t>（提供公安部有效检测报告复印件并加盖原厂公章或投标专用章）</w:t>
                  </w:r>
                </w:p>
                <w:p>
                  <w:pPr>
                    <w:jc w:val="left"/>
                  </w:pPr>
                  <w:r>
                    <w:rPr>
                      <w:sz w:val="21"/>
                    </w:rPr>
                    <w:t>16</w:t>
                  </w:r>
                  <w:r>
                    <w:rPr>
                      <w:sz w:val="21"/>
                    </w:rPr>
                    <w:t>、支持走廊模式，宽动态，</w:t>
                  </w:r>
                  <w:r>
                    <w:rPr>
                      <w:sz w:val="21"/>
                    </w:rPr>
                    <w:t>3D降噪，强光抑制，背光补偿，数字水印，适用不同监控环境</w:t>
                  </w:r>
                  <w:r>
                    <w:rPr>
                      <w:sz w:val="21"/>
                    </w:rPr>
                    <w:t>；</w:t>
                  </w:r>
                </w:p>
                <w:p>
                  <w:pPr>
                    <w:jc w:val="left"/>
                  </w:pPr>
                  <w:r>
                    <w:rPr>
                      <w:sz w:val="21"/>
                    </w:rPr>
                    <w:t>17</w:t>
                  </w:r>
                  <w:r>
                    <w:rPr>
                      <w:sz w:val="21"/>
                    </w:rPr>
                    <w:t>、支持</w:t>
                  </w:r>
                  <w:r>
                    <w:rPr>
                      <w:sz w:val="21"/>
                    </w:rPr>
                    <w:t>ROI，SVC，SMART H.264/H.265，帧前滤波，灵活编码，适用不同带宽和存储环境</w:t>
                  </w:r>
                  <w:r>
                    <w:rPr>
                      <w:sz w:val="21"/>
                    </w:rPr>
                    <w:t>；</w:t>
                  </w:r>
                </w:p>
                <w:p>
                  <w:pPr>
                    <w:jc w:val="left"/>
                  </w:pPr>
                  <w:r>
                    <w:rPr>
                      <w:sz w:val="21"/>
                    </w:rPr>
                    <w:t>▲18、支持设置网卡混杂模式检查、系统敏感文件检查、非法超级账户检测、僵尸网络检测、Rootkit检测、程序白名单、挖矿恶意进程检测、隐藏进程检测等设备功能；</w:t>
                  </w:r>
                  <w:r>
                    <w:rPr>
                      <w:b/>
                      <w:sz w:val="21"/>
                    </w:rPr>
                    <w:t>（提供公安部有效检测报告复印件并加盖原厂公章或投标专用章）</w:t>
                  </w:r>
                </w:p>
                <w:p>
                  <w:pPr>
                    <w:jc w:val="left"/>
                  </w:pPr>
                  <w:r>
                    <w:rPr>
                      <w:sz w:val="21"/>
                    </w:rPr>
                    <w:t>19、</w:t>
                  </w:r>
                  <w:r>
                    <w:rPr>
                      <w:sz w:val="21"/>
                    </w:rPr>
                    <w:t>支持报警</w:t>
                  </w:r>
                  <w:r>
                    <w:rPr>
                      <w:sz w:val="21"/>
                    </w:rPr>
                    <w:t>3进2出，音频1进1出，485，BNC，256G Micro SD卡</w:t>
                  </w:r>
                  <w:r>
                    <w:rPr>
                      <w:sz w:val="21"/>
                    </w:rPr>
                    <w:t>；</w:t>
                  </w:r>
                </w:p>
                <w:p>
                  <w:pPr>
                    <w:jc w:val="left"/>
                  </w:pPr>
                  <w:r>
                    <w:rPr>
                      <w:sz w:val="21"/>
                    </w:rPr>
                    <w:t>▲20、最大可识别1T容量的SD卡，可存储、下载录像；</w:t>
                  </w:r>
                  <w:r>
                    <w:rPr>
                      <w:b/>
                      <w:sz w:val="21"/>
                    </w:rPr>
                    <w:t>（提供公安部有效检测报告复印件并加盖原厂公章或投标专用章）</w:t>
                  </w:r>
                </w:p>
                <w:p>
                  <w:pPr>
                    <w:jc w:val="left"/>
                  </w:pPr>
                  <w:r>
                    <w:rPr>
                      <w:sz w:val="21"/>
                    </w:rPr>
                    <w:t>21</w:t>
                  </w:r>
                  <w:r>
                    <w:rPr>
                      <w:sz w:val="21"/>
                    </w:rPr>
                    <w:t>、支持</w:t>
                  </w:r>
                  <w:r>
                    <w:rPr>
                      <w:sz w:val="21"/>
                    </w:rPr>
                    <w:t>DC12V/POE供电方式，方便工程安装</w:t>
                  </w:r>
                  <w:r>
                    <w:rPr>
                      <w:sz w:val="21"/>
                    </w:rPr>
                    <w:t>；</w:t>
                  </w:r>
                </w:p>
                <w:p>
                  <w:pPr>
                    <w:jc w:val="left"/>
                  </w:pPr>
                  <w:r>
                    <w:rPr>
                      <w:sz w:val="21"/>
                    </w:rPr>
                    <w:t>22</w:t>
                  </w:r>
                  <w:r>
                    <w:rPr>
                      <w:sz w:val="21"/>
                    </w:rPr>
                    <w:t>、支持</w:t>
                  </w:r>
                  <w:r>
                    <w:rPr>
                      <w:sz w:val="21"/>
                    </w:rPr>
                    <w:t>IP67防护等级</w:t>
                  </w:r>
                  <w:r>
                    <w:rPr>
                      <w:sz w:val="21"/>
                    </w:rPr>
                    <w:t>。</w:t>
                  </w:r>
                </w:p>
              </w:tc>
              <w:tc>
                <w:tcPr>
                  <w:tcW w:type="dxa" w:w="467"/>
                  <w:tcBorders>
                    <w:top w:val="none" w:color="000000" w:sz="4"/>
                    <w:left w:val="none" w:color="000000" w:sz="4"/>
                    <w:bottom w:val="single" w:color="000000" w:sz="4"/>
                    <w:right w:val="single" w:color="000000" w:sz="4"/>
                  </w:tcBorders>
                  <w:vAlign w:val="top"/>
                </w:tcPr>
                <w:p>
                  <w:pPr>
                    <w:jc w:val="center"/>
                  </w:pPr>
                  <w:r>
                    <w:rPr>
                      <w:sz w:val="21"/>
                    </w:rPr>
                    <w:t>571</w:t>
                  </w:r>
                </w:p>
              </w:tc>
              <w:tc>
                <w:tcPr>
                  <w:tcW w:type="dxa" w:w="357"/>
                  <w:tcBorders>
                    <w:top w:val="none" w:color="000000" w:sz="4"/>
                    <w:left w:val="none" w:color="000000" w:sz="4"/>
                    <w:bottom w:val="single" w:color="000000" w:sz="4"/>
                    <w:right w:val="single" w:color="000000" w:sz="4"/>
                  </w:tcBorders>
                  <w:vAlign w:val="top"/>
                </w:tcPr>
                <w:p>
                  <w:pPr>
                    <w:jc w:val="center"/>
                  </w:pPr>
                  <w:r>
                    <w:rPr>
                      <w:sz w:val="21"/>
                    </w:rPr>
                    <w:t>项</w:t>
                  </w:r>
                </w:p>
              </w:tc>
              <w:tc>
                <w:tcPr>
                  <w:tcW w:type="dxa" w:w="669"/>
                  <w:tcBorders>
                    <w:top w:val="none" w:color="000000" w:sz="4"/>
                    <w:left w:val="none" w:color="000000" w:sz="4"/>
                    <w:bottom w:val="single" w:color="000000" w:sz="4"/>
                    <w:right w:val="single" w:color="000000" w:sz="4"/>
                  </w:tcBorders>
                  <w:vAlign w:val="top"/>
                </w:tcPr>
                <w:p>
                  <w:pPr>
                    <w:jc w:val="center"/>
                  </w:pPr>
                  <w:r>
                    <w:rPr>
                      <w:sz w:val="21"/>
                    </w:rPr>
                    <w:t>含</w:t>
                  </w:r>
                  <w:r>
                    <w:rPr>
                      <w:sz w:val="21"/>
                    </w:rPr>
                    <w:t>3年服务期内的运维费用、光纤链路费用等</w:t>
                  </w:r>
                </w:p>
              </w:tc>
            </w:tr>
            <w:tr>
              <w:tc>
                <w:tcPr>
                  <w:tcW w:type="dxa" w:w="302"/>
                  <w:tcBorders>
                    <w:top w:val="none" w:color="000000" w:sz="4"/>
                    <w:left w:val="single" w:color="000000" w:sz="4"/>
                    <w:bottom w:val="single" w:color="000000" w:sz="4"/>
                    <w:right w:val="single" w:color="000000" w:sz="4"/>
                  </w:tcBorders>
                  <w:vAlign w:val="top"/>
                </w:tcPr>
                <w:p>
                  <w:pPr>
                    <w:jc w:val="center"/>
                  </w:pPr>
                  <w:r>
                    <w:rPr>
                      <w:sz w:val="21"/>
                    </w:rPr>
                    <w:t>2</w:t>
                  </w:r>
                </w:p>
              </w:tc>
              <w:tc>
                <w:tcPr>
                  <w:tcW w:type="dxa" w:w="815"/>
                  <w:tcBorders>
                    <w:top w:val="none" w:color="000000" w:sz="4"/>
                    <w:left w:val="none" w:color="000000" w:sz="4"/>
                    <w:bottom w:val="single" w:color="000000" w:sz="4"/>
                    <w:right w:val="single" w:color="000000" w:sz="4"/>
                  </w:tcBorders>
                  <w:vAlign w:val="top"/>
                </w:tcPr>
                <w:p>
                  <w:pPr>
                    <w:jc w:val="center"/>
                  </w:pPr>
                  <w:r>
                    <w:rPr>
                      <w:sz w:val="21"/>
                    </w:rPr>
                    <w:t>和家园视频监控采集服务</w:t>
                  </w:r>
                  <w:r>
                    <w:rPr>
                      <w:sz w:val="21"/>
                    </w:rPr>
                    <w:t>(B型)</w:t>
                  </w:r>
                </w:p>
              </w:tc>
              <w:tc>
                <w:tcPr>
                  <w:tcW w:type="dxa" w:w="2987"/>
                  <w:tcBorders>
                    <w:top w:val="none" w:color="000000" w:sz="4"/>
                    <w:left w:val="none" w:color="000000" w:sz="4"/>
                    <w:bottom w:val="single" w:color="000000" w:sz="4"/>
                    <w:right w:val="single" w:color="000000" w:sz="4"/>
                  </w:tcBorders>
                  <w:vAlign w:val="top"/>
                </w:tcPr>
                <w:p>
                  <w:pPr>
                    <w:jc w:val="left"/>
                  </w:pPr>
                  <w:r>
                    <w:rPr>
                      <w:b/>
                      <w:sz w:val="21"/>
                    </w:rPr>
                    <w:t>一、服务内容</w:t>
                  </w:r>
                  <w:r>
                    <w:rPr>
                      <w:b/>
                      <w:sz w:val="21"/>
                    </w:rPr>
                    <w:t>：</w:t>
                  </w:r>
                </w:p>
                <w:p>
                  <w:pPr>
                    <w:jc w:val="left"/>
                  </w:pPr>
                  <w:r>
                    <w:rPr>
                      <w:sz w:val="21"/>
                    </w:rPr>
                    <w:t>1</w:t>
                  </w:r>
                  <w:r>
                    <w:rPr>
                      <w:sz w:val="21"/>
                    </w:rPr>
                    <w:t>、</w:t>
                  </w:r>
                  <w:r>
                    <w:rPr>
                      <w:sz w:val="21"/>
                    </w:rPr>
                    <w:t>B型号摄像机一个；</w:t>
                  </w:r>
                </w:p>
                <w:p>
                  <w:pPr>
                    <w:jc w:val="left"/>
                  </w:pPr>
                  <w:r>
                    <w:rPr>
                      <w:sz w:val="21"/>
                    </w:rPr>
                    <w:t>2</w:t>
                  </w:r>
                  <w:r>
                    <w:rPr>
                      <w:sz w:val="21"/>
                    </w:rPr>
                    <w:t>、</w:t>
                  </w:r>
                  <w:r>
                    <w:rPr>
                      <w:sz w:val="21"/>
                    </w:rPr>
                    <w:t>防盗和异常行为检测预警；</w:t>
                  </w:r>
                </w:p>
                <w:p>
                  <w:pPr>
                    <w:jc w:val="left"/>
                  </w:pPr>
                  <w:r>
                    <w:rPr>
                      <w:sz w:val="21"/>
                    </w:rPr>
                    <w:t>3</w:t>
                  </w:r>
                  <w:r>
                    <w:rPr>
                      <w:sz w:val="21"/>
                    </w:rPr>
                    <w:t>、</w:t>
                  </w:r>
                  <w:r>
                    <w:rPr>
                      <w:sz w:val="21"/>
                    </w:rPr>
                    <w:t>质保三年，</w:t>
                  </w:r>
                  <w:r>
                    <w:rPr>
                      <w:sz w:val="21"/>
                    </w:rPr>
                    <w:t>30天存储记录；</w:t>
                  </w:r>
                </w:p>
                <w:p>
                  <w:pPr>
                    <w:jc w:val="left"/>
                  </w:pPr>
                  <w:r>
                    <w:rPr>
                      <w:sz w:val="21"/>
                    </w:rPr>
                    <w:t>4</w:t>
                  </w:r>
                  <w:r>
                    <w:rPr>
                      <w:sz w:val="21"/>
                    </w:rPr>
                    <w:t>、</w:t>
                  </w:r>
                  <w:r>
                    <w:rPr>
                      <w:sz w:val="21"/>
                    </w:rPr>
                    <w:t>包安装，三年维护；</w:t>
                  </w:r>
                </w:p>
                <w:p>
                  <w:pPr>
                    <w:jc w:val="left"/>
                  </w:pPr>
                  <w:r>
                    <w:rPr>
                      <w:sz w:val="21"/>
                    </w:rPr>
                    <w:t>5</w:t>
                  </w:r>
                  <w:r>
                    <w:rPr>
                      <w:sz w:val="21"/>
                    </w:rPr>
                    <w:t>、</w:t>
                  </w:r>
                  <w:r>
                    <w:rPr>
                      <w:sz w:val="21"/>
                    </w:rPr>
                    <w:t>网络及光猫设备（户外型）；</w:t>
                  </w:r>
                </w:p>
                <w:p>
                  <w:pPr>
                    <w:jc w:val="left"/>
                  </w:pPr>
                  <w:r>
                    <w:rPr>
                      <w:sz w:val="21"/>
                    </w:rPr>
                    <w:t>6、含设备箱及必要配件；</w:t>
                  </w:r>
                </w:p>
                <w:p>
                  <w:pPr>
                    <w:jc w:val="left"/>
                  </w:pPr>
                  <w:r>
                    <w:rPr>
                      <w:sz w:val="21"/>
                    </w:rPr>
                    <w:t>7</w:t>
                  </w:r>
                  <w:r>
                    <w:rPr>
                      <w:sz w:val="21"/>
                    </w:rPr>
                    <w:t>、</w:t>
                  </w:r>
                  <w:r>
                    <w:rPr>
                      <w:sz w:val="21"/>
                    </w:rPr>
                    <w:t>0.5~2米横臂</w:t>
                  </w:r>
                  <w:r>
                    <w:rPr>
                      <w:sz w:val="21"/>
                    </w:rPr>
                    <w:t>。</w:t>
                  </w:r>
                </w:p>
                <w:p>
                  <w:pPr>
                    <w:jc w:val="left"/>
                  </w:pPr>
                  <w:r>
                    <w:rPr>
                      <w:b/>
                      <w:sz w:val="21"/>
                    </w:rPr>
                    <w:t>二、摄像头参数</w:t>
                  </w:r>
                  <w:r>
                    <w:rPr>
                      <w:b/>
                      <w:sz w:val="21"/>
                    </w:rPr>
                    <w:t>：</w:t>
                  </w:r>
                </w:p>
                <w:p>
                  <w:pPr>
                    <w:jc w:val="left"/>
                  </w:pPr>
                  <w:r>
                    <w:rPr>
                      <w:sz w:val="21"/>
                    </w:rPr>
                    <w:t>1、内置GPU芯片，支持深度学习算法，有效提升检测准确</w:t>
                  </w:r>
                  <w:r>
                    <w:rPr>
                      <w:sz w:val="21"/>
                    </w:rPr>
                    <w:t>；</w:t>
                  </w:r>
                </w:p>
                <w:p>
                  <w:pPr>
                    <w:jc w:val="left"/>
                  </w:pPr>
                  <w:r>
                    <w:rPr>
                      <w:sz w:val="21"/>
                    </w:rPr>
                    <w:t>2、支持人脸检测；支持优选；支持抓拍；支持上报最优的人脸抓图；支持人脸增强，支持人脸属性提取，6种属性8种表情</w:t>
                  </w:r>
                  <w:r>
                    <w:rPr>
                      <w:sz w:val="21"/>
                    </w:rPr>
                    <w:t>；</w:t>
                  </w:r>
                </w:p>
                <w:p>
                  <w:pPr>
                    <w:jc w:val="left"/>
                  </w:pPr>
                  <w:r>
                    <w:rPr>
                      <w:sz w:val="21"/>
                    </w:rPr>
                    <w:t>▲3、支持通过IE浏览器手动点击或框选预览画面中的人脸时,设备可通过改变云台将人脸置于画面中心并对人脸进行抓拍；</w:t>
                  </w:r>
                  <w:r>
                    <w:rPr>
                      <w:b/>
                      <w:sz w:val="21"/>
                    </w:rPr>
                    <w:t>（提供公安部有效检测报告复印件并加盖原厂公章或投标专用章）</w:t>
                  </w:r>
                </w:p>
                <w:p>
                  <w:pPr>
                    <w:jc w:val="left"/>
                  </w:pPr>
                  <w:r>
                    <w:rPr>
                      <w:color w:val="000000"/>
                      <w:sz w:val="21"/>
                    </w:rPr>
                    <w:t>▲</w:t>
                  </w:r>
                  <w:r>
                    <w:rPr>
                      <w:color w:val="000000"/>
                      <w:sz w:val="21"/>
                    </w:rPr>
                    <w:t>4、</w:t>
                  </w:r>
                  <w:r>
                    <w:rPr>
                      <w:sz w:val="21"/>
                    </w:rPr>
                    <w:t>支持</w:t>
                  </w:r>
                  <w:r>
                    <w:rPr>
                      <w:sz w:val="21"/>
                    </w:rPr>
                    <w:t>IE浏览器设置6个场景进行人脸抓拍,可设置每个场景的布防时间；</w:t>
                  </w:r>
                  <w:r>
                    <w:rPr>
                      <w:b/>
                      <w:sz w:val="21"/>
                    </w:rPr>
                    <w:t>（提供公安部有效检测报告复印件并加盖原厂公章或投标专用章）</w:t>
                  </w:r>
                </w:p>
                <w:p>
                  <w:pPr>
                    <w:jc w:val="left"/>
                  </w:pPr>
                  <w:r>
                    <w:rPr>
                      <w:sz w:val="21"/>
                    </w:rPr>
                    <w:t>5</w:t>
                  </w:r>
                  <w:r>
                    <w:rPr>
                      <w:sz w:val="21"/>
                    </w:rPr>
                    <w:t>、支持</w:t>
                  </w:r>
                  <w:r>
                    <w:rPr>
                      <w:sz w:val="21"/>
                    </w:rPr>
                    <w:t>23倍光学变倍，16倍数字变倍</w:t>
                  </w:r>
                  <w:r>
                    <w:rPr>
                      <w:sz w:val="21"/>
                    </w:rPr>
                    <w:t>；</w:t>
                  </w:r>
                </w:p>
                <w:p>
                  <w:pPr>
                    <w:jc w:val="left"/>
                  </w:pPr>
                  <w:r>
                    <w:rPr>
                      <w:sz w:val="21"/>
                    </w:rPr>
                    <w:t>6</w:t>
                  </w:r>
                  <w:r>
                    <w:rPr>
                      <w:sz w:val="21"/>
                    </w:rPr>
                    <w:t>、采用</w:t>
                  </w:r>
                  <w:r>
                    <w:rPr>
                      <w:sz w:val="21"/>
                    </w:rPr>
                    <w:t>400万像素1/2.8英寸CMOS 传感器</w:t>
                  </w:r>
                  <w:r>
                    <w:rPr>
                      <w:sz w:val="21"/>
                    </w:rPr>
                    <w:t>；</w:t>
                  </w:r>
                </w:p>
                <w:p>
                  <w:pPr>
                    <w:jc w:val="left"/>
                  </w:pPr>
                  <w:r>
                    <w:rPr>
                      <w:sz w:val="21"/>
                    </w:rPr>
                    <w:t>7</w:t>
                  </w:r>
                  <w:r>
                    <w:rPr>
                      <w:sz w:val="21"/>
                    </w:rPr>
                    <w:t>、支持星光级超低照度，彩色：</w:t>
                  </w:r>
                  <w:r>
                    <w:rPr>
                      <w:sz w:val="21"/>
                    </w:rPr>
                    <w:t>0.005Lux@F1.65 黑白：</w:t>
                  </w:r>
                  <w:r>
                    <w:rPr>
                      <w:color w:val="000000"/>
                      <w:sz w:val="21"/>
                    </w:rPr>
                    <w:t>0.0005Lux@F1.65</w:t>
                  </w:r>
                  <w:r>
                    <w:rPr>
                      <w:color w:val="000000"/>
                      <w:sz w:val="21"/>
                    </w:rPr>
                    <w:t>；</w:t>
                  </w:r>
                </w:p>
                <w:p>
                  <w:pPr>
                    <w:jc w:val="left"/>
                  </w:pPr>
                  <w:r>
                    <w:rPr>
                      <w:sz w:val="21"/>
                    </w:rPr>
                    <w:t>▲8、支持最大亮度鉴别等级应&gt;11级(RJ45输出)；</w:t>
                  </w:r>
                  <w:r>
                    <w:rPr>
                      <w:b/>
                      <w:sz w:val="21"/>
                    </w:rPr>
                    <w:t>（提供公安部有效检测报告复印件并加盖原厂公章或投标专用章）</w:t>
                  </w:r>
                </w:p>
                <w:p>
                  <w:pPr>
                    <w:jc w:val="left"/>
                  </w:pPr>
                  <w:r>
                    <w:rPr>
                      <w:sz w:val="21"/>
                    </w:rPr>
                    <w:t>9</w:t>
                  </w:r>
                  <w:r>
                    <w:rPr>
                      <w:sz w:val="21"/>
                    </w:rPr>
                    <w:t>、支持</w:t>
                  </w:r>
                  <w:r>
                    <w:rPr>
                      <w:sz w:val="21"/>
                    </w:rPr>
                    <w:t>H.265编码，实现超低码流传输</w:t>
                  </w:r>
                  <w:r>
                    <w:rPr>
                      <w:sz w:val="21"/>
                    </w:rPr>
                    <w:t>；</w:t>
                  </w:r>
                </w:p>
                <w:p>
                  <w:pPr>
                    <w:jc w:val="left"/>
                  </w:pPr>
                  <w:r>
                    <w:rPr>
                      <w:sz w:val="21"/>
                    </w:rPr>
                    <w:t>10</w:t>
                  </w:r>
                  <w:r>
                    <w:rPr>
                      <w:sz w:val="21"/>
                    </w:rPr>
                    <w:t>、内置</w:t>
                  </w:r>
                  <w:r>
                    <w:rPr>
                      <w:sz w:val="21"/>
                    </w:rPr>
                    <w:t>100米红外灯补光，采用倍率与红外灯功率匹配算法，补光效果更均匀</w:t>
                  </w:r>
                  <w:r>
                    <w:rPr>
                      <w:sz w:val="21"/>
                    </w:rPr>
                    <w:t>；</w:t>
                  </w:r>
                </w:p>
                <w:p>
                  <w:pPr>
                    <w:jc w:val="left"/>
                  </w:pPr>
                  <w:r>
                    <w:rPr>
                      <w:sz w:val="21"/>
                    </w:rPr>
                    <w:t>11</w:t>
                  </w:r>
                  <w:r>
                    <w:rPr>
                      <w:sz w:val="21"/>
                    </w:rPr>
                    <w:t>、水平方向</w:t>
                  </w:r>
                  <w:r>
                    <w:rPr>
                      <w:sz w:val="21"/>
                    </w:rPr>
                    <w:t>360°连续旋转，垂直方向-15°～90°自动翻转180°后连续监视,无监视盲区</w:t>
                  </w:r>
                  <w:r>
                    <w:rPr>
                      <w:sz w:val="21"/>
                    </w:rPr>
                    <w:t>；</w:t>
                  </w:r>
                </w:p>
                <w:p>
                  <w:pPr>
                    <w:jc w:val="left"/>
                  </w:pPr>
                  <w:r>
                    <w:rPr>
                      <w:sz w:val="21"/>
                    </w:rPr>
                    <w:t>12</w:t>
                  </w:r>
                  <w:r>
                    <w:rPr>
                      <w:sz w:val="21"/>
                    </w:rPr>
                    <w:t>、支持</w:t>
                  </w:r>
                  <w:r>
                    <w:rPr>
                      <w:sz w:val="21"/>
                    </w:rPr>
                    <w:t>300个预置位，8条巡航路径，5条巡迹路径</w:t>
                  </w:r>
                  <w:r>
                    <w:rPr>
                      <w:sz w:val="21"/>
                    </w:rPr>
                    <w:t>；</w:t>
                  </w:r>
                </w:p>
                <w:p>
                  <w:pPr>
                    <w:jc w:val="left"/>
                  </w:pPr>
                  <w:r>
                    <w:rPr>
                      <w:sz w:val="21"/>
                    </w:rPr>
                    <w:t>▲13、支持在IE浏览器下,具有电子防抖设置选项；</w:t>
                  </w:r>
                  <w:r>
                    <w:rPr>
                      <w:b/>
                      <w:sz w:val="21"/>
                    </w:rPr>
                    <w:t>（提供公安部有效检测报告复印件并加盖原厂公章或投标专用章）</w:t>
                  </w:r>
                </w:p>
                <w:p>
                  <w:pPr>
                    <w:jc w:val="left"/>
                  </w:pPr>
                  <w:r>
                    <w:rPr>
                      <w:sz w:val="21"/>
                    </w:rPr>
                    <w:t>1</w:t>
                  </w:r>
                  <w:r>
                    <w:rPr>
                      <w:sz w:val="21"/>
                    </w:rPr>
                    <w:t>4</w:t>
                  </w:r>
                  <w:r>
                    <w:rPr>
                      <w:sz w:val="21"/>
                    </w:rPr>
                    <w:t>、支持</w:t>
                  </w:r>
                  <w:r>
                    <w:rPr>
                      <w:sz w:val="21"/>
                    </w:rPr>
                    <w:t>IP66防护等级，8000V防雷、防浪涌和防突波保护</w:t>
                  </w:r>
                  <w:r>
                    <w:rPr>
                      <w:sz w:val="21"/>
                    </w:rPr>
                    <w:t>；</w:t>
                  </w:r>
                </w:p>
                <w:p>
                  <w:pPr>
                    <w:jc w:val="left"/>
                  </w:pPr>
                  <w:r>
                    <w:rPr>
                      <w:sz w:val="21"/>
                    </w:rPr>
                    <w:t>1</w:t>
                  </w:r>
                  <w:r>
                    <w:rPr>
                      <w:sz w:val="21"/>
                    </w:rPr>
                    <w:t>5</w:t>
                  </w:r>
                  <w:r>
                    <w:rPr>
                      <w:sz w:val="21"/>
                    </w:rPr>
                    <w:t>、支持</w:t>
                  </w:r>
                  <w:r>
                    <w:rPr>
                      <w:sz w:val="21"/>
                    </w:rPr>
                    <w:t>DC12V±10%宽电压输入</w:t>
                  </w:r>
                  <w:r>
                    <w:rPr>
                      <w:sz w:val="21"/>
                    </w:rPr>
                    <w:t>。</w:t>
                  </w:r>
                </w:p>
              </w:tc>
              <w:tc>
                <w:tcPr>
                  <w:tcW w:type="dxa" w:w="467"/>
                  <w:tcBorders>
                    <w:top w:val="none" w:color="000000" w:sz="4"/>
                    <w:left w:val="none" w:color="000000" w:sz="4"/>
                    <w:bottom w:val="single" w:color="000000" w:sz="4"/>
                    <w:right w:val="single" w:color="000000" w:sz="4"/>
                  </w:tcBorders>
                  <w:vAlign w:val="top"/>
                </w:tcPr>
                <w:p>
                  <w:pPr>
                    <w:jc w:val="center"/>
                  </w:pPr>
                  <w:r>
                    <w:rPr>
                      <w:sz w:val="21"/>
                    </w:rPr>
                    <w:t>164</w:t>
                  </w:r>
                </w:p>
              </w:tc>
              <w:tc>
                <w:tcPr>
                  <w:tcW w:type="dxa" w:w="357"/>
                  <w:tcBorders>
                    <w:top w:val="none" w:color="000000" w:sz="4"/>
                    <w:left w:val="none" w:color="000000" w:sz="4"/>
                    <w:bottom w:val="single" w:color="000000" w:sz="4"/>
                    <w:right w:val="single" w:color="000000" w:sz="4"/>
                  </w:tcBorders>
                  <w:vAlign w:val="top"/>
                </w:tcPr>
                <w:p>
                  <w:pPr>
                    <w:jc w:val="center"/>
                  </w:pPr>
                  <w:r>
                    <w:rPr>
                      <w:sz w:val="21"/>
                    </w:rPr>
                    <w:t>项</w:t>
                  </w:r>
                </w:p>
              </w:tc>
              <w:tc>
                <w:tcPr>
                  <w:tcW w:type="dxa" w:w="669"/>
                  <w:tcBorders>
                    <w:top w:val="none" w:color="000000" w:sz="4"/>
                    <w:left w:val="none" w:color="000000" w:sz="4"/>
                    <w:bottom w:val="single" w:color="000000" w:sz="4"/>
                    <w:right w:val="single" w:color="000000" w:sz="4"/>
                  </w:tcBorders>
                  <w:vAlign w:val="top"/>
                </w:tcPr>
                <w:p>
                  <w:pPr>
                    <w:jc w:val="center"/>
                  </w:pPr>
                  <w:r>
                    <w:rPr>
                      <w:sz w:val="21"/>
                    </w:rPr>
                    <w:t>含</w:t>
                  </w:r>
                  <w:r>
                    <w:rPr>
                      <w:sz w:val="21"/>
                    </w:rPr>
                    <w:t>3年服务期内的运维费用、光纤链路费用等</w:t>
                  </w:r>
                </w:p>
              </w:tc>
            </w:tr>
            <w:tr>
              <w:tc>
                <w:tcPr>
                  <w:tcW w:type="dxa" w:w="302"/>
                  <w:tcBorders>
                    <w:top w:val="none" w:color="000000" w:sz="4"/>
                    <w:left w:val="single" w:color="000000" w:sz="4"/>
                    <w:bottom w:val="single" w:color="000000" w:sz="4"/>
                    <w:right w:val="single" w:color="000000" w:sz="4"/>
                  </w:tcBorders>
                  <w:vAlign w:val="top"/>
                </w:tcPr>
                <w:p>
                  <w:pPr>
                    <w:jc w:val="center"/>
                  </w:pPr>
                  <w:r>
                    <w:rPr>
                      <w:sz w:val="21"/>
                    </w:rPr>
                    <w:t>3</w:t>
                  </w:r>
                </w:p>
              </w:tc>
              <w:tc>
                <w:tcPr>
                  <w:tcW w:type="dxa" w:w="815"/>
                  <w:tcBorders>
                    <w:top w:val="none" w:color="000000" w:sz="4"/>
                    <w:left w:val="none" w:color="000000" w:sz="4"/>
                    <w:bottom w:val="single" w:color="000000" w:sz="4"/>
                    <w:right w:val="single" w:color="000000" w:sz="4"/>
                  </w:tcBorders>
                  <w:vAlign w:val="top"/>
                </w:tcPr>
                <w:p>
                  <w:pPr>
                    <w:jc w:val="center"/>
                  </w:pPr>
                  <w:r>
                    <w:rPr>
                      <w:sz w:val="21"/>
                    </w:rPr>
                    <w:t>A型摄像机监控立杆及基础</w:t>
                  </w:r>
                </w:p>
              </w:tc>
              <w:tc>
                <w:tcPr>
                  <w:tcW w:type="dxa" w:w="2987"/>
                  <w:tcBorders>
                    <w:top w:val="none" w:color="000000" w:sz="4"/>
                    <w:left w:val="none" w:color="000000" w:sz="4"/>
                    <w:bottom w:val="single" w:color="000000" w:sz="4"/>
                    <w:right w:val="single" w:color="000000" w:sz="4"/>
                  </w:tcBorders>
                  <w:vAlign w:val="top"/>
                </w:tcPr>
                <w:p>
                  <w:pPr>
                    <w:jc w:val="left"/>
                  </w:pPr>
                  <w:r>
                    <w:rPr>
                      <w:sz w:val="21"/>
                    </w:rPr>
                    <w:t>1、立杆材质:监控立杆采用组合立杆：2节装，管径114转76，壁厚度≥2.5mm, 底座≥250×250mm，底座厚度≥8mm，长度≥300cm；</w:t>
                  </w:r>
                </w:p>
                <w:p>
                  <w:pPr>
                    <w:jc w:val="left"/>
                  </w:pPr>
                  <w:r>
                    <w:rPr>
                      <w:sz w:val="21"/>
                    </w:rPr>
                    <w:t>2、横臂材质：壁厚度≥2mm，口径≥φ50mm，长度≥50cm；</w:t>
                  </w:r>
                </w:p>
                <w:p>
                  <w:pPr>
                    <w:jc w:val="left"/>
                  </w:pPr>
                  <w:r>
                    <w:rPr>
                      <w:sz w:val="21"/>
                    </w:rPr>
                    <w:t>3、焊接工艺:应采用电焊接,整个杆体无漏焊,焊缝平整,无焊接缺陷</w:t>
                  </w:r>
                  <w:r>
                    <w:rPr>
                      <w:sz w:val="21"/>
                    </w:rPr>
                    <w:t>；</w:t>
                  </w:r>
                </w:p>
                <w:p>
                  <w:pPr>
                    <w:jc w:val="left"/>
                  </w:pPr>
                  <w:r>
                    <w:rPr>
                      <w:sz w:val="21"/>
                    </w:rPr>
                    <w:t>4、立杆基础开挖：基础底座尺寸≥400×400×500mm或同等方量,包含人工、机械、材料费用等；</w:t>
                  </w:r>
                </w:p>
                <w:p>
                  <w:pPr>
                    <w:jc w:val="left"/>
                  </w:pPr>
                  <w:r>
                    <w:rPr>
                      <w:sz w:val="21"/>
                    </w:rPr>
                    <w:t>5、地锚制作安装：人工及材料；</w:t>
                  </w:r>
                </w:p>
                <w:p>
                  <w:pPr>
                    <w:jc w:val="left"/>
                  </w:pPr>
                  <w:r>
                    <w:rPr>
                      <w:sz w:val="21"/>
                    </w:rPr>
                    <w:t>6、混凝土浇筑：C25混凝土，人工；</w:t>
                  </w:r>
                </w:p>
                <w:p>
                  <w:pPr>
                    <w:jc w:val="left"/>
                  </w:pPr>
                  <w:r>
                    <w:rPr>
                      <w:sz w:val="21"/>
                    </w:rPr>
                    <w:t>7、地网制作，要求地</w:t>
                  </w:r>
                  <w:r>
                    <w:rPr>
                      <w:sz w:val="21"/>
                    </w:rPr>
                    <w:t>阻</w:t>
                  </w:r>
                  <w:r>
                    <w:rPr>
                      <w:sz w:val="21"/>
                    </w:rPr>
                    <w:t>≤10Ω；</w:t>
                  </w:r>
                </w:p>
                <w:p>
                  <w:pPr>
                    <w:jc w:val="left"/>
                  </w:pPr>
                  <w:r>
                    <w:rPr>
                      <w:sz w:val="21"/>
                    </w:rPr>
                    <w:t>8、垃圾清运：人工及机械。</w:t>
                  </w:r>
                </w:p>
              </w:tc>
              <w:tc>
                <w:tcPr>
                  <w:tcW w:type="dxa" w:w="467"/>
                  <w:tcBorders>
                    <w:top w:val="none" w:color="000000" w:sz="4"/>
                    <w:left w:val="none" w:color="000000" w:sz="4"/>
                    <w:bottom w:val="single" w:color="000000" w:sz="4"/>
                    <w:right w:val="single" w:color="000000" w:sz="4"/>
                  </w:tcBorders>
                  <w:vAlign w:val="top"/>
                </w:tcPr>
                <w:p>
                  <w:pPr>
                    <w:jc w:val="center"/>
                  </w:pPr>
                  <w:r>
                    <w:rPr>
                      <w:sz w:val="21"/>
                    </w:rPr>
                    <w:t>61</w:t>
                  </w:r>
                </w:p>
              </w:tc>
              <w:tc>
                <w:tcPr>
                  <w:tcW w:type="dxa" w:w="357"/>
                  <w:tcBorders>
                    <w:top w:val="none" w:color="000000" w:sz="4"/>
                    <w:left w:val="none" w:color="000000" w:sz="4"/>
                    <w:bottom w:val="single" w:color="000000" w:sz="4"/>
                    <w:right w:val="single" w:color="000000" w:sz="4"/>
                  </w:tcBorders>
                  <w:vAlign w:val="top"/>
                </w:tcPr>
                <w:p>
                  <w:pPr>
                    <w:jc w:val="center"/>
                  </w:pPr>
                  <w:r>
                    <w:rPr>
                      <w:sz w:val="21"/>
                    </w:rPr>
                    <w:t>条</w:t>
                  </w:r>
                </w:p>
              </w:tc>
              <w:tc>
                <w:tcPr>
                  <w:tcW w:type="dxa" w:w="669"/>
                  <w:tcBorders>
                    <w:top w:val="none" w:color="000000" w:sz="4"/>
                    <w:left w:val="none" w:color="000000" w:sz="4"/>
                    <w:bottom w:val="single" w:color="000000" w:sz="4"/>
                    <w:right w:val="single" w:color="000000" w:sz="4"/>
                  </w:tcBorders>
                  <w:vAlign w:val="top"/>
                </w:tcPr>
                <w:p>
                  <w:pPr>
                    <w:jc w:val="center"/>
                  </w:pPr>
                </w:p>
              </w:tc>
            </w:tr>
            <w:tr>
              <w:tc>
                <w:tcPr>
                  <w:tcW w:type="dxa" w:w="302"/>
                  <w:tcBorders>
                    <w:top w:val="none" w:color="000000" w:sz="4"/>
                    <w:left w:val="single" w:color="000000" w:sz="4"/>
                    <w:bottom w:val="single" w:color="000000" w:sz="4"/>
                    <w:right w:val="single" w:color="000000" w:sz="4"/>
                  </w:tcBorders>
                  <w:vAlign w:val="top"/>
                </w:tcPr>
                <w:p>
                  <w:pPr>
                    <w:jc w:val="center"/>
                  </w:pPr>
                  <w:r>
                    <w:rPr>
                      <w:sz w:val="21"/>
                    </w:rPr>
                    <w:t>4</w:t>
                  </w:r>
                </w:p>
              </w:tc>
              <w:tc>
                <w:tcPr>
                  <w:tcW w:type="dxa" w:w="815"/>
                  <w:tcBorders>
                    <w:top w:val="none" w:color="000000" w:sz="4"/>
                    <w:left w:val="none" w:color="000000" w:sz="4"/>
                    <w:bottom w:val="single" w:color="000000" w:sz="4"/>
                    <w:right w:val="single" w:color="000000" w:sz="4"/>
                  </w:tcBorders>
                  <w:vAlign w:val="top"/>
                </w:tcPr>
                <w:p>
                  <w:pPr>
                    <w:jc w:val="left"/>
                  </w:pPr>
                  <w:r>
                    <w:rPr>
                      <w:color w:val="000000"/>
                      <w:sz w:val="21"/>
                    </w:rPr>
                    <w:t>B型摄像机监控立杆及基础</w:t>
                  </w:r>
                </w:p>
              </w:tc>
              <w:tc>
                <w:tcPr>
                  <w:tcW w:type="dxa" w:w="2987"/>
                  <w:tcBorders>
                    <w:top w:val="none" w:color="000000" w:sz="4"/>
                    <w:left w:val="none" w:color="000000" w:sz="4"/>
                    <w:bottom w:val="single" w:color="000000" w:sz="4"/>
                    <w:right w:val="single" w:color="000000" w:sz="4"/>
                  </w:tcBorders>
                  <w:vAlign w:val="top"/>
                </w:tcPr>
                <w:p>
                  <w:pPr>
                    <w:jc w:val="left"/>
                  </w:pPr>
                  <w:r>
                    <w:rPr>
                      <w:color w:val="000000"/>
                      <w:sz w:val="21"/>
                    </w:rPr>
                    <w:t>1、立杆材质:国际保准低硅低碳高强度q235,壁厚度≥4mm,底法兰厚度≥10mm；底部直径不低于14cm，长度：600cm；</w:t>
                  </w:r>
                  <w:r>
                    <w:br/>
                  </w:r>
                  <w:r>
                    <w:rPr>
                      <w:color w:val="000000"/>
                      <w:sz w:val="21"/>
                    </w:rPr>
                    <w:t>2、横臂材质：壁厚度≥2mm，口径≥φ50mm，长度≥50cm；</w:t>
                  </w:r>
                  <w:r>
                    <w:br/>
                  </w:r>
                  <w:r>
                    <w:rPr>
                      <w:color w:val="000000"/>
                      <w:sz w:val="21"/>
                    </w:rPr>
                    <w:t>3、焊接工艺:应采用电焊接,整个杆体无漏焊,焊缝平整,无焊接缺陷；</w:t>
                  </w:r>
                  <w:r>
                    <w:br/>
                  </w:r>
                  <w:r>
                    <w:rPr>
                      <w:color w:val="000000"/>
                      <w:sz w:val="21"/>
                    </w:rPr>
                    <w:t>4、立杆基础开挖：基础底座尺寸≥600×600×600mm或同等方量,包含人工、机械、材料费用等；</w:t>
                  </w:r>
                  <w:r>
                    <w:br/>
                  </w:r>
                  <w:r>
                    <w:rPr>
                      <w:color w:val="000000"/>
                      <w:sz w:val="21"/>
                    </w:rPr>
                    <w:t>5、地锚制作安装：人工及材料；</w:t>
                  </w:r>
                  <w:r>
                    <w:br/>
                  </w:r>
                  <w:r>
                    <w:rPr>
                      <w:color w:val="000000"/>
                      <w:sz w:val="21"/>
                    </w:rPr>
                    <w:t>6、混凝土浇筑：C25混凝土，人工；</w:t>
                  </w:r>
                  <w:r>
                    <w:br/>
                  </w:r>
                  <w:r>
                    <w:rPr>
                      <w:color w:val="000000"/>
                      <w:sz w:val="21"/>
                    </w:rPr>
                    <w:t>7、地网制作，要求地</w:t>
                  </w:r>
                  <w:r>
                    <w:rPr>
                      <w:sz w:val="21"/>
                    </w:rPr>
                    <w:t>阻</w:t>
                  </w:r>
                  <w:r>
                    <w:rPr>
                      <w:color w:val="000000"/>
                      <w:sz w:val="21"/>
                    </w:rPr>
                    <w:t>≤10Ω；</w:t>
                  </w:r>
                  <w:r>
                    <w:br/>
                  </w:r>
                  <w:r>
                    <w:rPr>
                      <w:color w:val="000000"/>
                      <w:sz w:val="21"/>
                    </w:rPr>
                    <w:t>8、垃圾清运：人工及机械。</w:t>
                  </w:r>
                </w:p>
              </w:tc>
              <w:tc>
                <w:tcPr>
                  <w:tcW w:type="dxa" w:w="467"/>
                  <w:tcBorders>
                    <w:top w:val="none" w:color="000000" w:sz="4"/>
                    <w:left w:val="none" w:color="000000" w:sz="4"/>
                    <w:bottom w:val="single" w:color="000000" w:sz="4"/>
                    <w:right w:val="single" w:color="000000" w:sz="4"/>
                  </w:tcBorders>
                  <w:vAlign w:val="top"/>
                </w:tcPr>
                <w:p>
                  <w:pPr>
                    <w:jc w:val="center"/>
                  </w:pPr>
                  <w:r>
                    <w:rPr>
                      <w:sz w:val="21"/>
                    </w:rPr>
                    <w:t>22</w:t>
                  </w:r>
                </w:p>
              </w:tc>
              <w:tc>
                <w:tcPr>
                  <w:tcW w:type="dxa" w:w="357"/>
                  <w:tcBorders>
                    <w:top w:val="none" w:color="000000" w:sz="4"/>
                    <w:left w:val="none" w:color="000000" w:sz="4"/>
                    <w:bottom w:val="single" w:color="000000" w:sz="4"/>
                    <w:right w:val="single" w:color="000000" w:sz="4"/>
                  </w:tcBorders>
                  <w:vAlign w:val="top"/>
                </w:tcPr>
                <w:p>
                  <w:pPr>
                    <w:jc w:val="center"/>
                  </w:pPr>
                  <w:r>
                    <w:rPr>
                      <w:sz w:val="21"/>
                    </w:rPr>
                    <w:t>条</w:t>
                  </w:r>
                </w:p>
              </w:tc>
              <w:tc>
                <w:tcPr>
                  <w:tcW w:type="dxa" w:w="669"/>
                  <w:tcBorders>
                    <w:top w:val="none" w:color="000000" w:sz="4"/>
                    <w:left w:val="none" w:color="000000" w:sz="4"/>
                    <w:bottom w:val="single" w:color="000000" w:sz="4"/>
                    <w:right w:val="single" w:color="000000" w:sz="4"/>
                  </w:tcBorders>
                  <w:vAlign w:val="top"/>
                </w:tcPr>
                <w:p>
                  <w:pPr>
                    <w:jc w:val="center"/>
                  </w:pPr>
                </w:p>
              </w:tc>
            </w:tr>
            <w:tr>
              <w:tc>
                <w:tcPr>
                  <w:tcW w:type="dxa" w:w="302"/>
                  <w:tcBorders>
                    <w:top w:val="none" w:color="000000" w:sz="4"/>
                    <w:left w:val="single" w:color="000000" w:sz="4"/>
                    <w:bottom w:val="single" w:color="000000" w:sz="4"/>
                    <w:right w:val="single" w:color="000000" w:sz="4"/>
                  </w:tcBorders>
                  <w:vAlign w:val="top"/>
                </w:tcPr>
                <w:p>
                  <w:pPr>
                    <w:jc w:val="center"/>
                  </w:pPr>
                  <w:r>
                    <w:rPr>
                      <w:sz w:val="21"/>
                    </w:rPr>
                    <w:t>5</w:t>
                  </w:r>
                </w:p>
              </w:tc>
              <w:tc>
                <w:tcPr>
                  <w:tcW w:type="dxa" w:w="815"/>
                  <w:tcBorders>
                    <w:top w:val="none" w:color="000000" w:sz="4"/>
                    <w:left w:val="none" w:color="000000" w:sz="4"/>
                    <w:bottom w:val="single" w:color="000000" w:sz="4"/>
                    <w:right w:val="single" w:color="000000" w:sz="4"/>
                  </w:tcBorders>
                  <w:vAlign w:val="top"/>
                </w:tcPr>
                <w:p>
                  <w:pPr>
                    <w:jc w:val="left"/>
                  </w:pPr>
                  <w:r>
                    <w:rPr>
                      <w:color w:val="000000"/>
                      <w:sz w:val="21"/>
                    </w:rPr>
                    <w:t>漏电开关</w:t>
                  </w:r>
                </w:p>
              </w:tc>
              <w:tc>
                <w:tcPr>
                  <w:tcW w:type="dxa" w:w="2987"/>
                  <w:tcBorders>
                    <w:top w:val="none" w:color="000000" w:sz="4"/>
                    <w:left w:val="none" w:color="000000" w:sz="4"/>
                    <w:bottom w:val="single" w:color="000000" w:sz="4"/>
                    <w:right w:val="single" w:color="000000" w:sz="4"/>
                  </w:tcBorders>
                  <w:vAlign w:val="top"/>
                </w:tcPr>
                <w:p>
                  <w:pPr>
                    <w:jc w:val="left"/>
                  </w:pPr>
                  <w:r>
                    <w:rPr>
                      <w:color w:val="000000"/>
                      <w:sz w:val="21"/>
                    </w:rPr>
                    <w:t>1、1P10A漏电开关；</w:t>
                  </w:r>
                  <w:r>
                    <w:br/>
                  </w:r>
                  <w:r>
                    <w:rPr>
                      <w:color w:val="000000"/>
                      <w:sz w:val="21"/>
                    </w:rPr>
                    <w:t>2、开关盒。</w:t>
                  </w:r>
                </w:p>
              </w:tc>
              <w:tc>
                <w:tcPr>
                  <w:tcW w:type="dxa" w:w="467"/>
                  <w:tcBorders>
                    <w:top w:val="none" w:color="000000" w:sz="4"/>
                    <w:left w:val="none" w:color="000000" w:sz="4"/>
                    <w:bottom w:val="single" w:color="000000" w:sz="4"/>
                    <w:right w:val="single" w:color="000000" w:sz="4"/>
                  </w:tcBorders>
                  <w:vAlign w:val="top"/>
                </w:tcPr>
                <w:p>
                  <w:pPr>
                    <w:jc w:val="center"/>
                  </w:pPr>
                  <w:r>
                    <w:rPr>
                      <w:sz w:val="21"/>
                    </w:rPr>
                    <w:t>735</w:t>
                  </w:r>
                </w:p>
              </w:tc>
              <w:tc>
                <w:tcPr>
                  <w:tcW w:type="dxa" w:w="357"/>
                  <w:tcBorders>
                    <w:top w:val="none" w:color="000000" w:sz="4"/>
                    <w:left w:val="none" w:color="000000" w:sz="4"/>
                    <w:bottom w:val="single" w:color="000000" w:sz="4"/>
                    <w:right w:val="single" w:color="000000" w:sz="4"/>
                  </w:tcBorders>
                  <w:vAlign w:val="top"/>
                </w:tcPr>
                <w:p>
                  <w:pPr>
                    <w:jc w:val="center"/>
                  </w:pPr>
                  <w:r>
                    <w:rPr>
                      <w:color w:val="000000"/>
                      <w:sz w:val="21"/>
                    </w:rPr>
                    <w:t>套</w:t>
                  </w:r>
                </w:p>
              </w:tc>
              <w:tc>
                <w:tcPr>
                  <w:tcW w:type="dxa" w:w="669"/>
                  <w:tcBorders>
                    <w:top w:val="none" w:color="000000" w:sz="4"/>
                    <w:left w:val="none" w:color="000000" w:sz="4"/>
                    <w:bottom w:val="single" w:color="000000" w:sz="4"/>
                    <w:right w:val="single" w:color="000000" w:sz="4"/>
                  </w:tcBorders>
                  <w:vAlign w:val="top"/>
                </w:tcPr>
                <w:p>
                  <w:pPr>
                    <w:jc w:val="center"/>
                  </w:pPr>
                </w:p>
              </w:tc>
            </w:tr>
            <w:tr>
              <w:tc>
                <w:tcPr>
                  <w:tcW w:type="dxa" w:w="302"/>
                  <w:tcBorders>
                    <w:top w:val="none" w:color="000000" w:sz="4"/>
                    <w:left w:val="single" w:color="000000" w:sz="4"/>
                    <w:bottom w:val="single" w:color="000000" w:sz="4"/>
                    <w:right w:val="single" w:color="000000" w:sz="4"/>
                  </w:tcBorders>
                  <w:vAlign w:val="top"/>
                </w:tcPr>
                <w:p>
                  <w:pPr>
                    <w:jc w:val="center"/>
                  </w:pPr>
                  <w:r>
                    <w:rPr>
                      <w:sz w:val="21"/>
                    </w:rPr>
                    <w:t>6</w:t>
                  </w:r>
                </w:p>
              </w:tc>
              <w:tc>
                <w:tcPr>
                  <w:tcW w:type="dxa" w:w="815"/>
                  <w:tcBorders>
                    <w:top w:val="none" w:color="000000" w:sz="4"/>
                    <w:left w:val="none" w:color="000000" w:sz="4"/>
                    <w:bottom w:val="single" w:color="000000" w:sz="4"/>
                    <w:right w:val="single" w:color="000000" w:sz="4"/>
                  </w:tcBorders>
                  <w:vAlign w:val="top"/>
                </w:tcPr>
                <w:p>
                  <w:pPr>
                    <w:jc w:val="left"/>
                  </w:pPr>
                  <w:r>
                    <w:rPr>
                      <w:color w:val="000000"/>
                      <w:sz w:val="21"/>
                    </w:rPr>
                    <w:t>电源线</w:t>
                  </w:r>
                </w:p>
              </w:tc>
              <w:tc>
                <w:tcPr>
                  <w:tcW w:type="dxa" w:w="2987"/>
                  <w:tcBorders>
                    <w:top w:val="none" w:color="000000" w:sz="4"/>
                    <w:left w:val="none" w:color="000000" w:sz="4"/>
                    <w:bottom w:val="single" w:color="000000" w:sz="4"/>
                    <w:right w:val="single" w:color="000000" w:sz="4"/>
                  </w:tcBorders>
                  <w:vAlign w:val="top"/>
                </w:tcPr>
                <w:p>
                  <w:pPr>
                    <w:jc w:val="left"/>
                  </w:pPr>
                  <w:r>
                    <w:rPr>
                      <w:color w:val="000000"/>
                      <w:sz w:val="21"/>
                    </w:rPr>
                    <w:t>RVV3*1.5电力电缆。</w:t>
                  </w:r>
                </w:p>
              </w:tc>
              <w:tc>
                <w:tcPr>
                  <w:tcW w:type="dxa" w:w="467"/>
                  <w:tcBorders>
                    <w:top w:val="none" w:color="000000" w:sz="4"/>
                    <w:left w:val="none" w:color="000000" w:sz="4"/>
                    <w:bottom w:val="single" w:color="000000" w:sz="4"/>
                    <w:right w:val="single" w:color="000000" w:sz="4"/>
                  </w:tcBorders>
                  <w:vAlign w:val="top"/>
                </w:tcPr>
                <w:p>
                  <w:pPr>
                    <w:jc w:val="center"/>
                  </w:pPr>
                  <w:r>
                    <w:rPr>
                      <w:sz w:val="21"/>
                    </w:rPr>
                    <w:t>14700</w:t>
                  </w:r>
                </w:p>
              </w:tc>
              <w:tc>
                <w:tcPr>
                  <w:tcW w:type="dxa" w:w="357"/>
                  <w:tcBorders>
                    <w:top w:val="none" w:color="000000" w:sz="4"/>
                    <w:left w:val="none" w:color="000000" w:sz="4"/>
                    <w:bottom w:val="single" w:color="000000" w:sz="4"/>
                    <w:right w:val="single" w:color="000000" w:sz="4"/>
                  </w:tcBorders>
                  <w:vAlign w:val="top"/>
                </w:tcPr>
                <w:p>
                  <w:pPr>
                    <w:jc w:val="center"/>
                  </w:pPr>
                  <w:r>
                    <w:rPr>
                      <w:color w:val="000000"/>
                      <w:sz w:val="21"/>
                    </w:rPr>
                    <w:t>米</w:t>
                  </w:r>
                </w:p>
              </w:tc>
              <w:tc>
                <w:tcPr>
                  <w:tcW w:type="dxa" w:w="669"/>
                  <w:tcBorders>
                    <w:top w:val="none" w:color="000000" w:sz="4"/>
                    <w:left w:val="none" w:color="000000" w:sz="4"/>
                    <w:bottom w:val="single" w:color="000000" w:sz="4"/>
                    <w:right w:val="single" w:color="000000" w:sz="4"/>
                  </w:tcBorders>
                  <w:vAlign w:val="top"/>
                </w:tcPr>
                <w:p>
                  <w:pPr>
                    <w:jc w:val="center"/>
                  </w:pPr>
                </w:p>
              </w:tc>
            </w:tr>
            <w:tr>
              <w:tc>
                <w:tcPr>
                  <w:tcW w:type="dxa" w:w="302"/>
                  <w:tcBorders>
                    <w:top w:val="none" w:color="000000" w:sz="4"/>
                    <w:left w:val="single" w:color="000000" w:sz="4"/>
                    <w:bottom w:val="single" w:color="000000" w:sz="4"/>
                    <w:right w:val="single" w:color="000000" w:sz="4"/>
                  </w:tcBorders>
                  <w:vAlign w:val="top"/>
                </w:tcPr>
                <w:p>
                  <w:pPr>
                    <w:jc w:val="center"/>
                  </w:pPr>
                  <w:r>
                    <w:rPr>
                      <w:sz w:val="21"/>
                    </w:rPr>
                    <w:t>7</w:t>
                  </w:r>
                </w:p>
              </w:tc>
              <w:tc>
                <w:tcPr>
                  <w:tcW w:type="dxa" w:w="815"/>
                  <w:tcBorders>
                    <w:top w:val="none" w:color="000000" w:sz="4"/>
                    <w:left w:val="none" w:color="000000" w:sz="4"/>
                    <w:bottom w:val="single" w:color="000000" w:sz="4"/>
                    <w:right w:val="single" w:color="000000" w:sz="4"/>
                  </w:tcBorders>
                  <w:vAlign w:val="top"/>
                </w:tcPr>
                <w:p>
                  <w:pPr>
                    <w:jc w:val="left"/>
                  </w:pPr>
                  <w:r>
                    <w:rPr>
                      <w:color w:val="000000"/>
                      <w:sz w:val="21"/>
                    </w:rPr>
                    <w:t>和家园全结构化特征识别算法授权服务</w:t>
                  </w:r>
                </w:p>
              </w:tc>
              <w:tc>
                <w:tcPr>
                  <w:tcW w:type="dxa" w:w="2987"/>
                  <w:tcBorders>
                    <w:top w:val="none" w:color="000000" w:sz="4"/>
                    <w:left w:val="none" w:color="000000" w:sz="4"/>
                    <w:bottom w:val="single" w:color="000000" w:sz="4"/>
                    <w:right w:val="single" w:color="000000" w:sz="4"/>
                  </w:tcBorders>
                  <w:vAlign w:val="top"/>
                </w:tcPr>
                <w:p>
                  <w:pPr>
                    <w:jc w:val="left"/>
                  </w:pPr>
                  <w:r>
                    <w:rPr>
                      <w:color w:val="000000"/>
                      <w:sz w:val="21"/>
                    </w:rPr>
                    <w:t>解析前端设备抓拍的图片，包括人脸、人体、车、非机动车等。</w:t>
                  </w:r>
                  <w:r>
                    <w:br/>
                  </w:r>
                  <w:r>
                    <w:rPr>
                      <w:color w:val="000000"/>
                      <w:sz w:val="21"/>
                    </w:rPr>
                    <w:t>1、机动车结构化算法：对视频中的车辆进行检测、跟踪、属性提取，产生车辆属性等解析结果。包括车辆颜色识别（红、黑、白、绿、蓝、棕、黄、粉、灰、紫）;车辆品牌识别;车辆车型识别;车辆关键点识别;车牌关键点识别;车辆角度识别（正面、侧面、背面）；</w:t>
                  </w:r>
                  <w:r>
                    <w:br/>
                  </w:r>
                  <w:r>
                    <w:rPr>
                      <w:color w:val="000000"/>
                      <w:sz w:val="21"/>
                    </w:rPr>
                    <w:t>车辆类型包括：小轿车、运动型汽车、面包车、大巴车、厢式货车、大卡车、小卡车；</w:t>
                  </w:r>
                  <w:r>
                    <w:br/>
                  </w:r>
                  <w:r>
                    <w:rPr>
                      <w:color w:val="000000"/>
                      <w:sz w:val="21"/>
                    </w:rPr>
                    <w:t>2、非机动车结构化算法：对视频中的非机动车进行检测、跟踪、属性提取，产生非机动车属性等解析结果。车身颜色识别（红、黑、白、绿、蓝、棕、黄、粉、灰、紫）。</w:t>
                  </w:r>
                  <w:r>
                    <w:br/>
                  </w:r>
                  <w:r>
                    <w:rPr>
                      <w:color w:val="000000"/>
                      <w:sz w:val="21"/>
                    </w:rPr>
                    <w:t>非机动车类型包括：摩托车、电动车、自行车、三轮车。</w:t>
                  </w:r>
                  <w:r>
                    <w:br/>
                  </w:r>
                  <w:r>
                    <w:rPr>
                      <w:color w:val="000000"/>
                      <w:sz w:val="21"/>
                    </w:rPr>
                    <w:t>3、驾乘人员识别算法：对非机动车驾乘人员进行检测、跟踪、属性提取，产生驾乘人员人体属性等解析结果；</w:t>
                  </w:r>
                  <w:r>
                    <w:br/>
                  </w:r>
                  <w:r>
                    <w:rPr>
                      <w:color w:val="000000"/>
                      <w:sz w:val="21"/>
                    </w:rPr>
                    <w:t>4、人脸识别算法：人脸特征提取，将一张人脸图像转化为一串固定长度的数值的过程。这个数值串被称为“人脸特征”，具有表征这个人脸特点的能力。人脸提特征过程的输入是 “一张人脸图”和“人脸五官关键点坐标”，输出是人脸相应的一个数值串（特征）。根据人脸五官关键点坐标将人脸对齐预定模式，然后计算特征。在第一帧中检测到人脸的前提下，在后续帧中继续捕获人脸的位置及其大小等信息，并且从持续跟踪并识别的人脸中提取出人脸最优图片的算法。人脸追踪去重算法的输入是“一段人脸视频”，输出是每一帧的人脸位置信息及最优人脸图片。性别识别：性别（男、女），年龄识别（老年人、成年人、小孩），口罩颜色识别：（黑、白、灰、红、蓝、黄、橙、棕、绿、紫、青、粉、透明），眼镜识别：（无眼镜、太阳镜、透明色），胡型识别：（无胡子，络腮胡）；</w:t>
                  </w:r>
                  <w:r>
                    <w:br/>
                  </w:r>
                  <w:r>
                    <w:rPr>
                      <w:color w:val="000000"/>
                      <w:sz w:val="21"/>
                    </w:rPr>
                    <w:t>5、人体属性识别算法：对视频中的人体进行检测、跟踪、属性提取，产生人体属性等解析结果。性别属性:（男、女）年龄属性（老年人、成年人、小孩）发型属性（全秃、披肩、短发发色属性（黑色、白色、黄色）帽子款式属性（无帽子、渔夫帽、套头帽、鸭舌帽）帽子颜色属性（黑、白、灰、红、蓝、黄、橙、棕、绿、紫、青、粉、透明）上衣款式属性（西装、T恤、衬衫、夹克、大衣、羽绒服、运动服、连衣裙、无上衣）上衣长度属性（长袖、短袖）上衣颜色属性（黑、白、灰、红、蓝、黄、橙、棕、绿、紫、青、粉、透明）裤子颜色属性（黑、白、灰、红、蓝、黄、橙、棕、绿、紫、青、粉、透明）裤子长度属性（长裤、短裤、裙子）鞋子款式属性（皮鞋、凉鞋、休闲鞋、高筒靴）鞋子颜色属性（黑、白、灰、红、蓝、黄、橙、棕、绿、紫、青、粉、透明）；</w:t>
                  </w:r>
                  <w:r>
                    <w:br/>
                  </w:r>
                  <w:r>
                    <w:rPr>
                      <w:color w:val="000000"/>
                      <w:sz w:val="21"/>
                    </w:rPr>
                    <w:t>6、脸、人体关联算法：进行人体识别，并实现人脸和人体的关联。可以在没有清晰人脸的时候，通过人体的检索找出一张具有清晰人脸的抓拍；也可以在已有清晰人脸的情况下，通过对人体的检索，来补全目标的行动轨迹。</w:t>
                  </w:r>
                </w:p>
              </w:tc>
              <w:tc>
                <w:tcPr>
                  <w:tcW w:type="dxa" w:w="467"/>
                  <w:tcBorders>
                    <w:top w:val="none" w:color="000000" w:sz="4"/>
                    <w:left w:val="none" w:color="000000" w:sz="4"/>
                    <w:bottom w:val="single" w:color="000000" w:sz="4"/>
                    <w:right w:val="single" w:color="000000" w:sz="4"/>
                  </w:tcBorders>
                  <w:vAlign w:val="top"/>
                </w:tcPr>
                <w:p>
                  <w:pPr>
                    <w:jc w:val="center"/>
                  </w:pPr>
                  <w:r>
                    <w:rPr>
                      <w:color w:val="000000"/>
                      <w:sz w:val="21"/>
                    </w:rPr>
                    <w:t>735</w:t>
                  </w:r>
                </w:p>
              </w:tc>
              <w:tc>
                <w:tcPr>
                  <w:tcW w:type="dxa" w:w="357"/>
                  <w:tcBorders>
                    <w:top w:val="none" w:color="000000" w:sz="4"/>
                    <w:left w:val="none" w:color="000000" w:sz="4"/>
                    <w:bottom w:val="single" w:color="000000" w:sz="4"/>
                    <w:right w:val="single" w:color="000000" w:sz="4"/>
                  </w:tcBorders>
                  <w:vAlign w:val="top"/>
                </w:tcPr>
                <w:p>
                  <w:pPr>
                    <w:jc w:val="center"/>
                  </w:pPr>
                  <w:r>
                    <w:rPr>
                      <w:sz w:val="21"/>
                    </w:rPr>
                    <w:t>路</w:t>
                  </w:r>
                </w:p>
              </w:tc>
              <w:tc>
                <w:tcPr>
                  <w:tcW w:type="dxa" w:w="669"/>
                  <w:tcBorders>
                    <w:top w:val="none" w:color="000000" w:sz="4"/>
                    <w:left w:val="none" w:color="000000" w:sz="4"/>
                    <w:bottom w:val="single" w:color="000000" w:sz="4"/>
                    <w:right w:val="single" w:color="000000" w:sz="4"/>
                  </w:tcBorders>
                  <w:vAlign w:val="top"/>
                </w:tcPr>
                <w:p>
                  <w:pPr>
                    <w:jc w:val="center"/>
                  </w:pPr>
                </w:p>
              </w:tc>
            </w:tr>
            <w:tr>
              <w:tc>
                <w:tcPr>
                  <w:tcW w:type="dxa" w:w="302"/>
                  <w:tcBorders>
                    <w:top w:val="none" w:color="000000" w:sz="4"/>
                    <w:left w:val="single" w:color="000000" w:sz="4"/>
                    <w:bottom w:val="single" w:color="000000" w:sz="4"/>
                    <w:right w:val="single" w:color="000000" w:sz="4"/>
                  </w:tcBorders>
                  <w:vAlign w:val="top"/>
                </w:tcPr>
                <w:p>
                  <w:pPr>
                    <w:jc w:val="center"/>
                  </w:pPr>
                  <w:r>
                    <w:rPr>
                      <w:sz w:val="21"/>
                    </w:rPr>
                    <w:t>8</w:t>
                  </w:r>
                </w:p>
              </w:tc>
              <w:tc>
                <w:tcPr>
                  <w:tcW w:type="dxa" w:w="815"/>
                  <w:tcBorders>
                    <w:top w:val="none" w:color="000000" w:sz="4"/>
                    <w:left w:val="none" w:color="000000" w:sz="4"/>
                    <w:bottom w:val="single" w:color="000000" w:sz="4"/>
                    <w:right w:val="single" w:color="000000" w:sz="4"/>
                  </w:tcBorders>
                  <w:vAlign w:val="top"/>
                </w:tcPr>
                <w:p>
                  <w:pPr>
                    <w:jc w:val="left"/>
                  </w:pPr>
                  <w:r>
                    <w:rPr>
                      <w:color w:val="000000"/>
                      <w:sz w:val="21"/>
                    </w:rPr>
                    <w:t>前端设备电费</w:t>
                  </w:r>
                </w:p>
              </w:tc>
              <w:tc>
                <w:tcPr>
                  <w:tcW w:type="dxa" w:w="2987"/>
                  <w:tcBorders>
                    <w:top w:val="none" w:color="000000" w:sz="4"/>
                    <w:left w:val="none" w:color="000000" w:sz="4"/>
                    <w:bottom w:val="single" w:color="000000" w:sz="4"/>
                    <w:right w:val="single" w:color="000000" w:sz="4"/>
                  </w:tcBorders>
                  <w:vAlign w:val="top"/>
                </w:tcPr>
                <w:p>
                  <w:pPr>
                    <w:jc w:val="left"/>
                  </w:pPr>
                  <w:r>
                    <w:rPr>
                      <w:color w:val="000000"/>
                      <w:sz w:val="21"/>
                    </w:rPr>
                    <w:t>1、前端设备用电报装；</w:t>
                  </w:r>
                </w:p>
                <w:p>
                  <w:pPr>
                    <w:jc w:val="left"/>
                  </w:pPr>
                  <w:r>
                    <w:rPr>
                      <w:color w:val="000000"/>
                      <w:sz w:val="21"/>
                    </w:rPr>
                    <w:t>2、在报装电表后侧加装漏电开关；</w:t>
                  </w:r>
                </w:p>
                <w:p>
                  <w:pPr>
                    <w:jc w:val="left"/>
                  </w:pPr>
                  <w:r>
                    <w:rPr>
                      <w:color w:val="000000"/>
                      <w:sz w:val="21"/>
                    </w:rPr>
                    <w:t>3、自漏电开关敷设电缆至监控点位综合箱；</w:t>
                  </w:r>
                </w:p>
                <w:p>
                  <w:pPr>
                    <w:jc w:val="left"/>
                  </w:pPr>
                  <w:r>
                    <w:rPr>
                      <w:color w:val="000000"/>
                      <w:sz w:val="21"/>
                    </w:rPr>
                    <w:t>4、前端摄像头、传输设备用电费用。</w:t>
                  </w:r>
                </w:p>
              </w:tc>
              <w:tc>
                <w:tcPr>
                  <w:tcW w:type="dxa" w:w="467"/>
                  <w:tcBorders>
                    <w:top w:val="none" w:color="000000" w:sz="4"/>
                    <w:left w:val="none" w:color="000000" w:sz="4"/>
                    <w:bottom w:val="single" w:color="000000" w:sz="4"/>
                    <w:right w:val="single" w:color="000000" w:sz="4"/>
                  </w:tcBorders>
                  <w:vAlign w:val="top"/>
                </w:tcPr>
                <w:p>
                  <w:pPr>
                    <w:jc w:val="center"/>
                  </w:pPr>
                  <w:r>
                    <w:rPr>
                      <w:color w:val="000000"/>
                      <w:sz w:val="21"/>
                    </w:rPr>
                    <w:t>735</w:t>
                  </w:r>
                </w:p>
              </w:tc>
              <w:tc>
                <w:tcPr>
                  <w:tcW w:type="dxa" w:w="357"/>
                  <w:tcBorders>
                    <w:top w:val="none" w:color="000000" w:sz="4"/>
                    <w:left w:val="none" w:color="000000" w:sz="4"/>
                    <w:bottom w:val="single" w:color="000000" w:sz="4"/>
                    <w:right w:val="single" w:color="000000" w:sz="4"/>
                  </w:tcBorders>
                  <w:vAlign w:val="top"/>
                </w:tcPr>
                <w:p>
                  <w:pPr>
                    <w:jc w:val="center"/>
                  </w:pPr>
                  <w:r>
                    <w:rPr>
                      <w:sz w:val="21"/>
                    </w:rPr>
                    <w:t>项</w:t>
                  </w:r>
                </w:p>
              </w:tc>
              <w:tc>
                <w:tcPr>
                  <w:tcW w:type="dxa" w:w="669"/>
                  <w:tcBorders>
                    <w:top w:val="none" w:color="000000" w:sz="4"/>
                    <w:left w:val="none" w:color="000000" w:sz="4"/>
                    <w:bottom w:val="single" w:color="000000" w:sz="4"/>
                    <w:right w:val="single" w:color="000000" w:sz="4"/>
                  </w:tcBorders>
                  <w:vAlign w:val="top"/>
                </w:tcPr>
                <w:p>
                  <w:pPr>
                    <w:jc w:val="center"/>
                  </w:pPr>
                  <w:r>
                    <w:rPr>
                      <w:sz w:val="21"/>
                    </w:rPr>
                    <w:t>由各村村委负责此项内容实施及费用。</w:t>
                  </w:r>
                  <w:r>
                    <w:rPr>
                      <w:sz w:val="21"/>
                    </w:rPr>
                    <w:t>（不包含在本次招标范围内）</w:t>
                  </w:r>
                </w:p>
              </w:tc>
            </w:tr>
            <w:tr>
              <w:tc>
                <w:tcPr>
                  <w:tcW w:type="dxa" w:w="302"/>
                  <w:tcBorders>
                    <w:top w:val="none" w:color="000000" w:sz="4"/>
                    <w:left w:val="single" w:color="000000" w:sz="4"/>
                    <w:bottom w:val="single" w:color="000000" w:sz="4"/>
                    <w:right w:val="single" w:color="000000" w:sz="4"/>
                  </w:tcBorders>
                  <w:vAlign w:val="top"/>
                </w:tcPr>
                <w:p>
                  <w:pPr>
                    <w:jc w:val="center"/>
                  </w:pPr>
                  <w:r>
                    <w:rPr>
                      <w:sz w:val="21"/>
                    </w:rPr>
                    <w:t>9</w:t>
                  </w:r>
                </w:p>
              </w:tc>
              <w:tc>
                <w:tcPr>
                  <w:tcW w:type="dxa" w:w="815"/>
                  <w:tcBorders>
                    <w:top w:val="none" w:color="000000" w:sz="4"/>
                    <w:left w:val="none" w:color="000000" w:sz="4"/>
                    <w:bottom w:val="single" w:color="000000" w:sz="4"/>
                    <w:right w:val="single" w:color="000000" w:sz="4"/>
                  </w:tcBorders>
                  <w:vAlign w:val="top"/>
                </w:tcPr>
                <w:p>
                  <w:pPr>
                    <w:jc w:val="left"/>
                  </w:pPr>
                  <w:r>
                    <w:rPr>
                      <w:color w:val="000000"/>
                      <w:sz w:val="21"/>
                    </w:rPr>
                    <w:t>视频专网共享联网平台</w:t>
                  </w:r>
                </w:p>
              </w:tc>
              <w:tc>
                <w:tcPr>
                  <w:tcW w:type="dxa" w:w="2987"/>
                  <w:tcBorders>
                    <w:top w:val="none" w:color="000000" w:sz="4"/>
                    <w:left w:val="none" w:color="000000" w:sz="4"/>
                    <w:bottom w:val="single" w:color="000000" w:sz="4"/>
                    <w:right w:val="single" w:color="000000" w:sz="4"/>
                  </w:tcBorders>
                  <w:vAlign w:val="top"/>
                </w:tcPr>
                <w:p>
                  <w:pPr>
                    <w:jc w:val="left"/>
                  </w:pPr>
                  <w:r>
                    <w:rPr>
                      <w:color w:val="000000"/>
                      <w:sz w:val="21"/>
                    </w:rPr>
                    <w:t>1、提供视频流转、分发管理功能，支持流媒体负载均衡策略及多网卡绑定策略；</w:t>
                  </w:r>
                </w:p>
                <w:p>
                  <w:pPr>
                    <w:jc w:val="left"/>
                  </w:pPr>
                  <w:r>
                    <w:rPr>
                      <w:color w:val="000000"/>
                      <w:sz w:val="21"/>
                    </w:rPr>
                    <w:t>2、支持多种存储策略制定，录像计划配置等；支持多种录像检索方式，包括常规检索、分段检索、事件检索、标签检索；提供录像点播服务，支持回放录像上墙，回放电子放大、断点续传功能，录像回放可精确定位到秒级。</w:t>
                  </w:r>
                </w:p>
              </w:tc>
              <w:tc>
                <w:tcPr>
                  <w:tcW w:type="dxa" w:w="467"/>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357"/>
                  <w:tcBorders>
                    <w:top w:val="none" w:color="000000" w:sz="4"/>
                    <w:left w:val="none" w:color="000000" w:sz="4"/>
                    <w:bottom w:val="single" w:color="000000" w:sz="4"/>
                    <w:right w:val="single" w:color="000000" w:sz="4"/>
                  </w:tcBorders>
                  <w:vAlign w:val="top"/>
                </w:tcPr>
                <w:p>
                  <w:pPr>
                    <w:jc w:val="center"/>
                  </w:pPr>
                  <w:r>
                    <w:rPr>
                      <w:sz w:val="21"/>
                    </w:rPr>
                    <w:t>套</w:t>
                  </w:r>
                </w:p>
              </w:tc>
              <w:tc>
                <w:tcPr>
                  <w:tcW w:type="dxa" w:w="669"/>
                  <w:tcBorders>
                    <w:top w:val="none" w:color="000000" w:sz="4"/>
                    <w:left w:val="none" w:color="000000" w:sz="4"/>
                    <w:bottom w:val="single" w:color="000000" w:sz="4"/>
                    <w:right w:val="single" w:color="000000" w:sz="4"/>
                  </w:tcBorders>
                  <w:vAlign w:val="top"/>
                </w:tcPr>
                <w:p>
                  <w:pPr>
                    <w:jc w:val="center"/>
                  </w:pPr>
                  <w:r>
                    <w:rPr>
                      <w:sz w:val="21"/>
                    </w:rPr>
                    <w:t>利旧市局平台</w:t>
                  </w:r>
                  <w:r>
                    <w:rPr>
                      <w:sz w:val="21"/>
                    </w:rPr>
                    <w:t>（不包含在本次招标范围内</w:t>
                  </w:r>
                  <w:r>
                    <w:rPr>
                      <w:sz w:val="21"/>
                    </w:rPr>
                    <w:t>）</w:t>
                  </w:r>
                </w:p>
              </w:tc>
            </w:tr>
            <w:tr>
              <w:tc>
                <w:tcPr>
                  <w:tcW w:type="dxa" w:w="302"/>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815"/>
                  <w:tcBorders>
                    <w:top w:val="none" w:color="000000" w:sz="4"/>
                    <w:left w:val="none" w:color="000000" w:sz="4"/>
                    <w:bottom w:val="single" w:color="000000" w:sz="4"/>
                    <w:right w:val="single" w:color="000000" w:sz="4"/>
                  </w:tcBorders>
                  <w:vAlign w:val="top"/>
                </w:tcPr>
                <w:p>
                  <w:pPr>
                    <w:jc w:val="left"/>
                  </w:pPr>
                  <w:r>
                    <w:rPr>
                      <w:color w:val="000000"/>
                      <w:sz w:val="21"/>
                    </w:rPr>
                    <w:t>数据边界接入平台</w:t>
                  </w:r>
                </w:p>
              </w:tc>
              <w:tc>
                <w:tcPr>
                  <w:tcW w:type="dxa" w:w="2987"/>
                  <w:tcBorders>
                    <w:top w:val="none" w:color="000000" w:sz="4"/>
                    <w:left w:val="none" w:color="000000" w:sz="4"/>
                    <w:bottom w:val="single" w:color="000000" w:sz="4"/>
                    <w:right w:val="single" w:color="000000" w:sz="4"/>
                  </w:tcBorders>
                  <w:vAlign w:val="top"/>
                </w:tcPr>
                <w:p>
                  <w:pPr>
                    <w:jc w:val="left"/>
                  </w:pPr>
                  <w:r>
                    <w:rPr>
                      <w:color w:val="000000"/>
                      <w:sz w:val="21"/>
                    </w:rPr>
                    <w:t>含集约化数据边界接入平台、集中监控和审计系统、集控探针、网闸、防火墙等设备。</w:t>
                  </w:r>
                </w:p>
              </w:tc>
              <w:tc>
                <w:tcPr>
                  <w:tcW w:type="dxa" w:w="467"/>
                  <w:tcBorders>
                    <w:top w:val="none" w:color="000000" w:sz="4"/>
                    <w:left w:val="none" w:color="000000" w:sz="4"/>
                    <w:bottom w:val="single" w:color="000000" w:sz="4"/>
                    <w:right w:val="single" w:color="000000" w:sz="4"/>
                  </w:tcBorders>
                  <w:vAlign w:val="top"/>
                </w:tcPr>
                <w:p>
                  <w:pPr>
                    <w:jc w:val="center"/>
                  </w:pPr>
                  <w:r>
                    <w:rPr>
                      <w:color w:val="000000"/>
                      <w:sz w:val="21"/>
                    </w:rPr>
                    <w:t>2</w:t>
                  </w:r>
                </w:p>
              </w:tc>
              <w:tc>
                <w:tcPr>
                  <w:tcW w:type="dxa" w:w="357"/>
                  <w:tcBorders>
                    <w:top w:val="none" w:color="000000" w:sz="4"/>
                    <w:left w:val="none" w:color="000000" w:sz="4"/>
                    <w:bottom w:val="single" w:color="000000" w:sz="4"/>
                    <w:right w:val="single" w:color="000000" w:sz="4"/>
                  </w:tcBorders>
                  <w:vAlign w:val="top"/>
                </w:tcPr>
                <w:p>
                  <w:pPr>
                    <w:jc w:val="center"/>
                  </w:pPr>
                  <w:r>
                    <w:rPr>
                      <w:sz w:val="21"/>
                    </w:rPr>
                    <w:t>套</w:t>
                  </w:r>
                </w:p>
              </w:tc>
              <w:tc>
                <w:tcPr>
                  <w:tcW w:type="dxa" w:w="669"/>
                  <w:tcBorders>
                    <w:top w:val="none" w:color="000000" w:sz="4"/>
                    <w:left w:val="none" w:color="000000" w:sz="4"/>
                    <w:bottom w:val="single" w:color="000000" w:sz="4"/>
                    <w:right w:val="single" w:color="000000" w:sz="4"/>
                  </w:tcBorders>
                  <w:vAlign w:val="top"/>
                </w:tcPr>
                <w:p>
                  <w:pPr>
                    <w:jc w:val="center"/>
                  </w:pPr>
                  <w:r>
                    <w:rPr>
                      <w:sz w:val="21"/>
                    </w:rPr>
                    <w:t>将图片自政务外网摆渡至视频专网，将视频专网解析后的图片、数据推送至公安网存储、应用；利旧市局设备</w:t>
                  </w:r>
                  <w:r>
                    <w:rPr>
                      <w:sz w:val="21"/>
                    </w:rPr>
                    <w:t>。</w:t>
                  </w:r>
                  <w:r>
                    <w:rPr>
                      <w:sz w:val="21"/>
                    </w:rPr>
                    <w:t>（不包含在本次招标范围内</w:t>
                  </w:r>
                  <w:r>
                    <w:rPr>
                      <w:sz w:val="21"/>
                    </w:rPr>
                    <w:t>）</w:t>
                  </w:r>
                </w:p>
              </w:tc>
            </w:tr>
            <w:tr>
              <w:tc>
                <w:tcPr>
                  <w:tcW w:type="dxa" w:w="302"/>
                  <w:tcBorders>
                    <w:top w:val="none" w:color="000000" w:sz="4"/>
                    <w:left w:val="single" w:color="000000" w:sz="4"/>
                    <w:bottom w:val="single" w:color="000000" w:sz="4"/>
                    <w:right w:val="single" w:color="000000" w:sz="4"/>
                  </w:tcBorders>
                  <w:vAlign w:val="top"/>
                </w:tcPr>
                <w:p>
                  <w:pPr>
                    <w:jc w:val="center"/>
                  </w:pPr>
                  <w:r>
                    <w:rPr>
                      <w:sz w:val="21"/>
                    </w:rPr>
                    <w:t>11</w:t>
                  </w:r>
                </w:p>
              </w:tc>
              <w:tc>
                <w:tcPr>
                  <w:tcW w:type="dxa" w:w="815"/>
                  <w:tcBorders>
                    <w:top w:val="none" w:color="000000" w:sz="4"/>
                    <w:left w:val="none" w:color="000000" w:sz="4"/>
                    <w:bottom w:val="single" w:color="000000" w:sz="4"/>
                    <w:right w:val="single" w:color="000000" w:sz="4"/>
                  </w:tcBorders>
                  <w:vAlign w:val="top"/>
                </w:tcPr>
                <w:p>
                  <w:pPr>
                    <w:jc w:val="left"/>
                  </w:pPr>
                  <w:r>
                    <w:rPr>
                      <w:color w:val="000000"/>
                      <w:sz w:val="21"/>
                    </w:rPr>
                    <w:t>车辆二次分析服务器</w:t>
                  </w:r>
                </w:p>
              </w:tc>
              <w:tc>
                <w:tcPr>
                  <w:tcW w:type="dxa" w:w="2987"/>
                  <w:tcBorders>
                    <w:top w:val="none" w:color="000000" w:sz="4"/>
                    <w:left w:val="none" w:color="000000" w:sz="4"/>
                    <w:bottom w:val="single" w:color="000000" w:sz="4"/>
                    <w:right w:val="single" w:color="000000" w:sz="4"/>
                  </w:tcBorders>
                  <w:vAlign w:val="top"/>
                </w:tcPr>
                <w:p>
                  <w:pPr>
                    <w:jc w:val="left"/>
                  </w:pPr>
                  <w:r>
                    <w:rPr>
                      <w:color w:val="000000"/>
                      <w:sz w:val="21"/>
                    </w:rPr>
                    <w:t>CPU:2颗（2.2GHz/12核)；</w:t>
                  </w:r>
                </w:p>
                <w:p>
                  <w:pPr>
                    <w:jc w:val="left"/>
                  </w:pPr>
                  <w:r>
                    <w:rPr>
                      <w:color w:val="000000"/>
                      <w:sz w:val="21"/>
                    </w:rPr>
                    <w:t>内存：</w:t>
                  </w:r>
                  <w:r>
                    <w:rPr>
                      <w:color w:val="000000"/>
                      <w:sz w:val="21"/>
                    </w:rPr>
                    <w:t>64GB；</w:t>
                  </w:r>
                </w:p>
                <w:p>
                  <w:pPr>
                    <w:jc w:val="left"/>
                  </w:pPr>
                  <w:r>
                    <w:rPr>
                      <w:color w:val="000000"/>
                      <w:sz w:val="21"/>
                    </w:rPr>
                    <w:t>硬盘：</w:t>
                  </w:r>
                  <w:r>
                    <w:rPr>
                      <w:color w:val="000000"/>
                      <w:sz w:val="21"/>
                    </w:rPr>
                    <w:t>4*600GB 10K SAS；</w:t>
                  </w:r>
                </w:p>
                <w:p>
                  <w:pPr>
                    <w:jc w:val="left"/>
                  </w:pPr>
                  <w:r>
                    <w:rPr>
                      <w:color w:val="000000"/>
                      <w:sz w:val="21"/>
                    </w:rPr>
                    <w:t>网络：</w:t>
                  </w:r>
                  <w:r>
                    <w:rPr>
                      <w:color w:val="000000"/>
                      <w:sz w:val="21"/>
                    </w:rPr>
                    <w:t>2*GE，2*10GE光口（含光模块）；</w:t>
                  </w:r>
                </w:p>
                <w:p>
                  <w:pPr>
                    <w:jc w:val="left"/>
                  </w:pPr>
                  <w:r>
                    <w:rPr>
                      <w:color w:val="000000"/>
                      <w:sz w:val="21"/>
                    </w:rPr>
                    <w:t>GPU卡：4*Nvidia Tesla-T4；</w:t>
                  </w:r>
                </w:p>
                <w:p>
                  <w:pPr>
                    <w:jc w:val="left"/>
                  </w:pPr>
                  <w:r>
                    <w:rPr>
                      <w:color w:val="000000"/>
                      <w:sz w:val="21"/>
                    </w:rPr>
                    <w:t>RAID卡：支持RAID0/1/10；</w:t>
                  </w:r>
                </w:p>
                <w:p>
                  <w:pPr>
                    <w:jc w:val="left"/>
                  </w:pPr>
                  <w:r>
                    <w:rPr>
                      <w:color w:val="000000"/>
                      <w:sz w:val="21"/>
                    </w:rPr>
                    <w:t>电源：双白金交流电源；</w:t>
                  </w:r>
                </w:p>
                <w:p>
                  <w:pPr>
                    <w:jc w:val="left"/>
                  </w:pPr>
                  <w:r>
                    <w:rPr>
                      <w:color w:val="000000"/>
                      <w:sz w:val="21"/>
                    </w:rPr>
                    <w:t>操作系统：</w:t>
                  </w:r>
                  <w:r>
                    <w:rPr>
                      <w:color w:val="000000"/>
                      <w:sz w:val="21"/>
                    </w:rPr>
                    <w:t>CentOS 7.5或以上。</w:t>
                  </w:r>
                </w:p>
              </w:tc>
              <w:tc>
                <w:tcPr>
                  <w:tcW w:type="dxa" w:w="467"/>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357"/>
                  <w:tcBorders>
                    <w:top w:val="none" w:color="000000" w:sz="4"/>
                    <w:left w:val="none" w:color="000000" w:sz="4"/>
                    <w:bottom w:val="single" w:color="000000" w:sz="4"/>
                    <w:right w:val="single" w:color="000000" w:sz="4"/>
                  </w:tcBorders>
                  <w:vAlign w:val="top"/>
                </w:tcPr>
                <w:p>
                  <w:pPr>
                    <w:jc w:val="center"/>
                  </w:pPr>
                  <w:r>
                    <w:rPr>
                      <w:sz w:val="21"/>
                    </w:rPr>
                    <w:t>台</w:t>
                  </w:r>
                </w:p>
              </w:tc>
              <w:tc>
                <w:tcPr>
                  <w:tcW w:type="dxa" w:w="669"/>
                  <w:tcBorders>
                    <w:top w:val="none" w:color="000000" w:sz="4"/>
                    <w:left w:val="none" w:color="000000" w:sz="4"/>
                    <w:bottom w:val="single" w:color="000000" w:sz="4"/>
                    <w:right w:val="single" w:color="000000" w:sz="4"/>
                  </w:tcBorders>
                  <w:vAlign w:val="top"/>
                </w:tcPr>
                <w:p>
                  <w:pPr>
                    <w:jc w:val="center"/>
                  </w:pPr>
                  <w:r>
                    <w:rPr>
                      <w:sz w:val="21"/>
                    </w:rPr>
                    <w:t>利旧市局视频专网视频云平台设备</w:t>
                  </w:r>
                  <w:r>
                    <w:rPr>
                      <w:sz w:val="21"/>
                    </w:rPr>
                    <w:t>（不包含在本次招标范围内</w:t>
                  </w:r>
                  <w:r>
                    <w:rPr>
                      <w:sz w:val="21"/>
                    </w:rPr>
                    <w:t>）</w:t>
                  </w:r>
                </w:p>
              </w:tc>
            </w:tr>
            <w:tr>
              <w:tc>
                <w:tcPr>
                  <w:tcW w:type="dxa" w:w="302"/>
                  <w:tcBorders>
                    <w:top w:val="none" w:color="000000" w:sz="4"/>
                    <w:left w:val="single" w:color="000000" w:sz="4"/>
                    <w:bottom w:val="single" w:color="000000" w:sz="4"/>
                    <w:right w:val="single" w:color="000000" w:sz="4"/>
                  </w:tcBorders>
                  <w:vAlign w:val="top"/>
                </w:tcPr>
                <w:p>
                  <w:pPr>
                    <w:jc w:val="center"/>
                  </w:pPr>
                  <w:r>
                    <w:rPr>
                      <w:sz w:val="21"/>
                    </w:rPr>
                    <w:t>12</w:t>
                  </w:r>
                </w:p>
              </w:tc>
              <w:tc>
                <w:tcPr>
                  <w:tcW w:type="dxa" w:w="815"/>
                  <w:tcBorders>
                    <w:top w:val="none" w:color="000000" w:sz="4"/>
                    <w:left w:val="none" w:color="000000" w:sz="4"/>
                    <w:bottom w:val="single" w:color="000000" w:sz="4"/>
                    <w:right w:val="single" w:color="000000" w:sz="4"/>
                  </w:tcBorders>
                  <w:vAlign w:val="top"/>
                </w:tcPr>
                <w:p>
                  <w:pPr>
                    <w:jc w:val="left"/>
                  </w:pPr>
                  <w:r>
                    <w:rPr>
                      <w:color w:val="000000"/>
                      <w:sz w:val="21"/>
                    </w:rPr>
                    <w:t>综合管控节点</w:t>
                  </w:r>
                </w:p>
              </w:tc>
              <w:tc>
                <w:tcPr>
                  <w:tcW w:type="dxa" w:w="2987"/>
                  <w:tcBorders>
                    <w:top w:val="none" w:color="000000" w:sz="4"/>
                    <w:left w:val="none" w:color="000000" w:sz="4"/>
                    <w:bottom w:val="single" w:color="000000" w:sz="4"/>
                    <w:right w:val="single" w:color="000000" w:sz="4"/>
                  </w:tcBorders>
                  <w:vAlign w:val="top"/>
                </w:tcPr>
                <w:p>
                  <w:pPr>
                    <w:jc w:val="left"/>
                  </w:pPr>
                  <w:r>
                    <w:rPr>
                      <w:color w:val="000000"/>
                      <w:sz w:val="21"/>
                    </w:rPr>
                    <w:t>1、≤2U机架式，可支持导轨及理线架；</w:t>
                  </w:r>
                </w:p>
                <w:p>
                  <w:pPr>
                    <w:jc w:val="left"/>
                  </w:pPr>
                  <w:r>
                    <w:rPr>
                      <w:color w:val="000000"/>
                      <w:sz w:val="21"/>
                    </w:rPr>
                    <w:t>2、内存类型：ECC DDR4 2666MHz或以上；</w:t>
                  </w:r>
                </w:p>
                <w:p>
                  <w:pPr>
                    <w:jc w:val="left"/>
                  </w:pPr>
                  <w:r>
                    <w:rPr>
                      <w:color w:val="000000"/>
                      <w:sz w:val="21"/>
                    </w:rPr>
                    <w:t>3、内存插槽 支持≥48个；</w:t>
                  </w:r>
                </w:p>
                <w:p>
                  <w:pPr>
                    <w:jc w:val="left"/>
                  </w:pPr>
                  <w:r>
                    <w:rPr>
                      <w:color w:val="000000"/>
                      <w:sz w:val="21"/>
                    </w:rPr>
                    <w:t>4、支持内存保护支持ECC、SDDC、内存镜像、内存热备、内存锁步（Lockstep）；</w:t>
                  </w:r>
                </w:p>
                <w:p>
                  <w:pPr>
                    <w:jc w:val="left"/>
                  </w:pPr>
                  <w:r>
                    <w:rPr>
                      <w:color w:val="000000"/>
                      <w:sz w:val="21"/>
                    </w:rPr>
                    <w:t>5、硬盘扩展能力：可扩展≥25个热插拔2.5寸硬盘槽位；</w:t>
                  </w:r>
                </w:p>
                <w:p>
                  <w:pPr>
                    <w:jc w:val="left"/>
                  </w:pPr>
                  <w:r>
                    <w:rPr>
                      <w:color w:val="000000"/>
                      <w:sz w:val="21"/>
                    </w:rPr>
                    <w:t>6、PCI-E I/O插槽总数：≥11个；</w:t>
                  </w:r>
                </w:p>
                <w:p>
                  <w:pPr>
                    <w:jc w:val="left"/>
                  </w:pPr>
                  <w:r>
                    <w:rPr>
                      <w:color w:val="000000"/>
                      <w:sz w:val="21"/>
                    </w:rPr>
                    <w:t>7、标配集成32M显卡；</w:t>
                  </w:r>
                </w:p>
                <w:p>
                  <w:pPr>
                    <w:jc w:val="left"/>
                  </w:pPr>
                  <w:r>
                    <w:rPr>
                      <w:color w:val="000000"/>
                      <w:sz w:val="21"/>
                    </w:rPr>
                    <w:t>8、支持5-45度环境温度；</w:t>
                  </w:r>
                </w:p>
                <w:p>
                  <w:pPr>
                    <w:jc w:val="left"/>
                  </w:pPr>
                  <w:r>
                    <w:rPr>
                      <w:color w:val="000000"/>
                      <w:sz w:val="21"/>
                    </w:rPr>
                    <w:t>9、支持单板管理软件的Firmware支持双镜像，主引导区升级失效，可以从从引导区启动；</w:t>
                  </w:r>
                </w:p>
                <w:p>
                  <w:pPr>
                    <w:jc w:val="left"/>
                  </w:pPr>
                  <w:r>
                    <w:rPr>
                      <w:color w:val="000000"/>
                      <w:sz w:val="21"/>
                    </w:rPr>
                    <w:t>10、具备带外故障检测功能，不依赖于OS，对CPU故障；I2C和IPMB总线故障；内存故障；PCIe设备故障；硬盘故障，系统宕机、黑屏、蓝屏和异常重启故障等进行分析和定位；</w:t>
                  </w:r>
                </w:p>
                <w:p>
                  <w:pPr>
                    <w:jc w:val="left"/>
                  </w:pPr>
                  <w:r>
                    <w:rPr>
                      <w:color w:val="000000"/>
                      <w:sz w:val="21"/>
                    </w:rPr>
                    <w:t>11、支持国产管理芯片；</w:t>
                  </w:r>
                </w:p>
                <w:p>
                  <w:pPr>
                    <w:jc w:val="left"/>
                  </w:pPr>
                  <w:r>
                    <w:rPr>
                      <w:color w:val="000000"/>
                      <w:sz w:val="21"/>
                    </w:rPr>
                    <w:t>12、产品BIOS支持Secure boot启动，支持第三方证书的导入/导出；</w:t>
                  </w:r>
                </w:p>
                <w:p>
                  <w:pPr>
                    <w:jc w:val="left"/>
                  </w:pPr>
                  <w:r>
                    <w:rPr>
                      <w:color w:val="000000"/>
                      <w:sz w:val="21"/>
                    </w:rPr>
                    <w:t>13、实配：CPU：2颗英特尔至强金牌6230(2.1GHz/20C)</w:t>
                  </w:r>
                </w:p>
                <w:p>
                  <w:pPr>
                    <w:jc w:val="left"/>
                  </w:pPr>
                  <w:r>
                    <w:rPr>
                      <w:color w:val="000000"/>
                      <w:sz w:val="21"/>
                    </w:rPr>
                    <w:t>内存：</w:t>
                  </w:r>
                  <w:r>
                    <w:rPr>
                      <w:color w:val="000000"/>
                      <w:sz w:val="21"/>
                    </w:rPr>
                    <w:t>256GB；</w:t>
                  </w:r>
                </w:p>
                <w:p>
                  <w:pPr>
                    <w:jc w:val="left"/>
                  </w:pPr>
                  <w:r>
                    <w:rPr>
                      <w:color w:val="000000"/>
                      <w:sz w:val="21"/>
                    </w:rPr>
                    <w:t>硬盘：</w:t>
                  </w:r>
                  <w:r>
                    <w:rPr>
                      <w:color w:val="000000"/>
                      <w:sz w:val="21"/>
                    </w:rPr>
                    <w:t>6个2TB SATA,1个480GB SSD；</w:t>
                  </w:r>
                </w:p>
                <w:p>
                  <w:pPr>
                    <w:jc w:val="left"/>
                  </w:pPr>
                  <w:r>
                    <w:rPr>
                      <w:color w:val="000000"/>
                      <w:sz w:val="21"/>
                    </w:rPr>
                    <w:t>网卡：</w:t>
                  </w:r>
                  <w:r>
                    <w:rPr>
                      <w:color w:val="000000"/>
                      <w:sz w:val="21"/>
                    </w:rPr>
                    <w:t>2个千兆网口，2个万兆网口(含光模块)；</w:t>
                  </w:r>
                </w:p>
                <w:p>
                  <w:pPr>
                    <w:jc w:val="left"/>
                  </w:pPr>
                  <w:r>
                    <w:rPr>
                      <w:color w:val="000000"/>
                      <w:sz w:val="21"/>
                    </w:rPr>
                    <w:t>阵列卡：支持</w:t>
                  </w:r>
                  <w:r>
                    <w:rPr>
                      <w:color w:val="000000"/>
                      <w:sz w:val="21"/>
                    </w:rPr>
                    <w:t>RAID0,1，10；</w:t>
                  </w:r>
                </w:p>
                <w:p>
                  <w:pPr>
                    <w:jc w:val="left"/>
                  </w:pPr>
                  <w:r>
                    <w:rPr>
                      <w:color w:val="000000"/>
                      <w:sz w:val="21"/>
                    </w:rPr>
                    <w:t>电源：</w:t>
                  </w:r>
                  <w:r>
                    <w:rPr>
                      <w:color w:val="000000"/>
                      <w:sz w:val="21"/>
                    </w:rPr>
                    <w:t>2个1500W；</w:t>
                  </w:r>
                </w:p>
                <w:p>
                  <w:pPr>
                    <w:jc w:val="left"/>
                  </w:pPr>
                  <w:r>
                    <w:rPr>
                      <w:color w:val="000000"/>
                      <w:sz w:val="21"/>
                    </w:rPr>
                    <w:t>含滑轨套件。</w:t>
                  </w:r>
                </w:p>
              </w:tc>
              <w:tc>
                <w:tcPr>
                  <w:tcW w:type="dxa" w:w="467"/>
                  <w:tcBorders>
                    <w:top w:val="none" w:color="000000" w:sz="4"/>
                    <w:left w:val="none" w:color="000000" w:sz="4"/>
                    <w:bottom w:val="single" w:color="000000" w:sz="4"/>
                    <w:right w:val="single" w:color="000000" w:sz="4"/>
                  </w:tcBorders>
                  <w:vAlign w:val="top"/>
                </w:tcPr>
                <w:p>
                  <w:pPr>
                    <w:jc w:val="center"/>
                  </w:pPr>
                  <w:r>
                    <w:rPr>
                      <w:color w:val="000000"/>
                      <w:sz w:val="21"/>
                    </w:rPr>
                    <w:t>3</w:t>
                  </w:r>
                </w:p>
              </w:tc>
              <w:tc>
                <w:tcPr>
                  <w:tcW w:type="dxa" w:w="357"/>
                  <w:tcBorders>
                    <w:top w:val="none" w:color="000000" w:sz="4"/>
                    <w:left w:val="none" w:color="000000" w:sz="4"/>
                    <w:bottom w:val="single" w:color="000000" w:sz="4"/>
                    <w:right w:val="single" w:color="000000" w:sz="4"/>
                  </w:tcBorders>
                  <w:vAlign w:val="top"/>
                </w:tcPr>
                <w:p>
                  <w:pPr>
                    <w:jc w:val="center"/>
                  </w:pPr>
                  <w:r>
                    <w:rPr>
                      <w:sz w:val="21"/>
                    </w:rPr>
                    <w:t>台</w:t>
                  </w:r>
                </w:p>
              </w:tc>
              <w:tc>
                <w:tcPr>
                  <w:tcW w:type="dxa" w:w="669"/>
                  <w:tcBorders>
                    <w:top w:val="none" w:color="000000" w:sz="4"/>
                    <w:left w:val="none" w:color="000000" w:sz="4"/>
                    <w:bottom w:val="single" w:color="000000" w:sz="4"/>
                    <w:right w:val="single" w:color="000000" w:sz="4"/>
                  </w:tcBorders>
                  <w:vAlign w:val="top"/>
                </w:tcPr>
                <w:p>
                  <w:pPr>
                    <w:jc w:val="center"/>
                  </w:pPr>
                  <w:r>
                    <w:rPr>
                      <w:sz w:val="21"/>
                    </w:rPr>
                    <w:t>利旧市局视频专网视频云平台设备</w:t>
                  </w:r>
                  <w:r>
                    <w:rPr>
                      <w:sz w:val="21"/>
                    </w:rPr>
                    <w:t>（不包含在本次招标范围内</w:t>
                  </w:r>
                  <w:r>
                    <w:rPr>
                      <w:sz w:val="21"/>
                    </w:rPr>
                    <w:t>）</w:t>
                  </w:r>
                </w:p>
              </w:tc>
            </w:tr>
            <w:tr>
              <w:tc>
                <w:tcPr>
                  <w:tcW w:type="dxa" w:w="302"/>
                  <w:tcBorders>
                    <w:top w:val="none" w:color="000000" w:sz="4"/>
                    <w:left w:val="single" w:color="000000" w:sz="4"/>
                    <w:bottom w:val="single" w:color="000000" w:sz="4"/>
                    <w:right w:val="single" w:color="000000" w:sz="4"/>
                  </w:tcBorders>
                  <w:vAlign w:val="top"/>
                </w:tcPr>
                <w:p>
                  <w:pPr>
                    <w:jc w:val="center"/>
                  </w:pPr>
                  <w:r>
                    <w:rPr>
                      <w:sz w:val="21"/>
                    </w:rPr>
                    <w:t>13</w:t>
                  </w:r>
                </w:p>
              </w:tc>
              <w:tc>
                <w:tcPr>
                  <w:tcW w:type="dxa" w:w="815"/>
                  <w:tcBorders>
                    <w:top w:val="none" w:color="000000" w:sz="4"/>
                    <w:left w:val="none" w:color="000000" w:sz="4"/>
                    <w:bottom w:val="single" w:color="000000" w:sz="4"/>
                    <w:right w:val="single" w:color="000000" w:sz="4"/>
                  </w:tcBorders>
                  <w:vAlign w:val="top"/>
                </w:tcPr>
                <w:p>
                  <w:pPr>
                    <w:jc w:val="left"/>
                  </w:pPr>
                  <w:r>
                    <w:rPr>
                      <w:color w:val="000000"/>
                      <w:sz w:val="21"/>
                    </w:rPr>
                    <w:t>视图解析节点（</w:t>
                  </w:r>
                  <w:r>
                    <w:rPr>
                      <w:color w:val="000000"/>
                      <w:sz w:val="21"/>
                    </w:rPr>
                    <w:t>4卡T4）</w:t>
                  </w:r>
                </w:p>
              </w:tc>
              <w:tc>
                <w:tcPr>
                  <w:tcW w:type="dxa" w:w="2987"/>
                  <w:tcBorders>
                    <w:top w:val="none" w:color="000000" w:sz="4"/>
                    <w:left w:val="none" w:color="000000" w:sz="4"/>
                    <w:bottom w:val="single" w:color="000000" w:sz="4"/>
                    <w:right w:val="single" w:color="000000" w:sz="4"/>
                  </w:tcBorders>
                  <w:vAlign w:val="top"/>
                </w:tcPr>
                <w:p>
                  <w:pPr>
                    <w:jc w:val="left"/>
                  </w:pPr>
                  <w:r>
                    <w:rPr>
                      <w:color w:val="000000"/>
                      <w:sz w:val="21"/>
                    </w:rPr>
                    <w:t>2U标准机架式服务器；</w:t>
                  </w:r>
                </w:p>
                <w:p>
                  <w:pPr>
                    <w:jc w:val="left"/>
                  </w:pPr>
                  <w:r>
                    <w:rPr>
                      <w:color w:val="000000"/>
                      <w:sz w:val="21"/>
                    </w:rPr>
                    <w:t>CPU：2颗  CPU（16核2.1Ghz）；</w:t>
                  </w:r>
                </w:p>
                <w:p>
                  <w:pPr>
                    <w:jc w:val="left"/>
                  </w:pPr>
                  <w:r>
                    <w:rPr>
                      <w:color w:val="000000"/>
                      <w:sz w:val="21"/>
                    </w:rPr>
                    <w:t>GPU：4张NVIDIA Tesla T4卡；</w:t>
                  </w:r>
                </w:p>
                <w:p>
                  <w:pPr>
                    <w:jc w:val="left"/>
                  </w:pPr>
                  <w:r>
                    <w:rPr>
                      <w:color w:val="000000"/>
                      <w:sz w:val="21"/>
                    </w:rPr>
                    <w:t>内存：</w:t>
                  </w:r>
                  <w:r>
                    <w:rPr>
                      <w:color w:val="000000"/>
                      <w:sz w:val="21"/>
                    </w:rPr>
                    <w:t>256G DDR4，24根 DDR4 ECC RDIMM插槽；</w:t>
                  </w:r>
                </w:p>
                <w:p>
                  <w:pPr>
                    <w:jc w:val="left"/>
                  </w:pPr>
                  <w:r>
                    <w:rPr>
                      <w:color w:val="000000"/>
                      <w:sz w:val="21"/>
                    </w:rPr>
                    <w:t>硬盘：</w:t>
                  </w:r>
                  <w:r>
                    <w:rPr>
                      <w:color w:val="000000"/>
                      <w:sz w:val="21"/>
                    </w:rPr>
                    <w:t>2*240GB SSD，2*480GB SSD，8*1.92T SSD；</w:t>
                  </w:r>
                </w:p>
                <w:p>
                  <w:pPr>
                    <w:jc w:val="left"/>
                  </w:pPr>
                  <w:r>
                    <w:rPr>
                      <w:color w:val="000000"/>
                      <w:sz w:val="21"/>
                    </w:rPr>
                    <w:t>网口：</w:t>
                  </w:r>
                  <w:r>
                    <w:rPr>
                      <w:color w:val="000000"/>
                      <w:sz w:val="21"/>
                    </w:rPr>
                    <w:t>4个千兆自适应网络接口；</w:t>
                  </w:r>
                </w:p>
                <w:p>
                  <w:pPr>
                    <w:jc w:val="left"/>
                  </w:pPr>
                  <w:r>
                    <w:rPr>
                      <w:color w:val="000000"/>
                      <w:sz w:val="21"/>
                    </w:rPr>
                    <w:t>其他接口：</w:t>
                  </w:r>
                  <w:r>
                    <w:rPr>
                      <w:color w:val="000000"/>
                      <w:sz w:val="21"/>
                    </w:rPr>
                    <w:t>4个USB3.0接口，2个VGA接口；</w:t>
                  </w:r>
                </w:p>
                <w:p>
                  <w:pPr>
                    <w:jc w:val="left"/>
                  </w:pPr>
                  <w:r>
                    <w:rPr>
                      <w:color w:val="000000"/>
                      <w:sz w:val="21"/>
                    </w:rPr>
                    <w:t>电源：</w:t>
                  </w:r>
                  <w:r>
                    <w:rPr>
                      <w:color w:val="000000"/>
                      <w:sz w:val="21"/>
                    </w:rPr>
                    <w:t>1600W热拔插高效1+1冗余电源模块；</w:t>
                  </w:r>
                </w:p>
                <w:p>
                  <w:pPr>
                    <w:jc w:val="left"/>
                  </w:pPr>
                  <w:r>
                    <w:rPr>
                      <w:color w:val="000000"/>
                      <w:sz w:val="21"/>
                    </w:rPr>
                    <w:t>硬盘：标配</w:t>
                  </w:r>
                  <w:r>
                    <w:rPr>
                      <w:color w:val="000000"/>
                      <w:sz w:val="21"/>
                    </w:rPr>
                    <w:t>1个480GB SSD，最大支持8块3.5/2.5寸SATA硬盘或SSD，支持热插拔。</w:t>
                  </w:r>
                </w:p>
              </w:tc>
              <w:tc>
                <w:tcPr>
                  <w:tcW w:type="dxa" w:w="467"/>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357"/>
                  <w:tcBorders>
                    <w:top w:val="none" w:color="000000" w:sz="4"/>
                    <w:left w:val="none" w:color="000000" w:sz="4"/>
                    <w:bottom w:val="single" w:color="000000" w:sz="4"/>
                    <w:right w:val="single" w:color="000000" w:sz="4"/>
                  </w:tcBorders>
                  <w:vAlign w:val="top"/>
                </w:tcPr>
                <w:p>
                  <w:pPr>
                    <w:jc w:val="center"/>
                  </w:pPr>
                  <w:r>
                    <w:rPr>
                      <w:sz w:val="21"/>
                    </w:rPr>
                    <w:t>台</w:t>
                  </w:r>
                </w:p>
              </w:tc>
              <w:tc>
                <w:tcPr>
                  <w:tcW w:type="dxa" w:w="669"/>
                  <w:tcBorders>
                    <w:top w:val="none" w:color="000000" w:sz="4"/>
                    <w:left w:val="none" w:color="000000" w:sz="4"/>
                    <w:bottom w:val="single" w:color="000000" w:sz="4"/>
                    <w:right w:val="single" w:color="000000" w:sz="4"/>
                  </w:tcBorders>
                  <w:vAlign w:val="top"/>
                </w:tcPr>
                <w:p>
                  <w:pPr>
                    <w:jc w:val="center"/>
                  </w:pPr>
                  <w:r>
                    <w:rPr>
                      <w:sz w:val="21"/>
                    </w:rPr>
                    <w:t>利旧紫金县公安局智慧新警务项目设备</w:t>
                  </w:r>
                  <w:r>
                    <w:rPr>
                      <w:sz w:val="21"/>
                    </w:rPr>
                    <w:t>（不包含在本次招标范围内</w:t>
                  </w:r>
                  <w:r>
                    <w:rPr>
                      <w:sz w:val="21"/>
                    </w:rPr>
                    <w:t>）</w:t>
                  </w:r>
                </w:p>
              </w:tc>
            </w:tr>
            <w:tr>
              <w:tc>
                <w:tcPr>
                  <w:tcW w:type="dxa" w:w="302"/>
                  <w:tcBorders>
                    <w:top w:val="none" w:color="000000" w:sz="4"/>
                    <w:left w:val="single" w:color="000000" w:sz="4"/>
                    <w:bottom w:val="single" w:color="000000" w:sz="4"/>
                    <w:right w:val="single" w:color="000000" w:sz="4"/>
                  </w:tcBorders>
                  <w:vAlign w:val="top"/>
                </w:tcPr>
                <w:p>
                  <w:pPr>
                    <w:jc w:val="center"/>
                  </w:pPr>
                  <w:r>
                    <w:rPr>
                      <w:sz w:val="21"/>
                    </w:rPr>
                    <w:t>14</w:t>
                  </w:r>
                </w:p>
              </w:tc>
              <w:tc>
                <w:tcPr>
                  <w:tcW w:type="dxa" w:w="815"/>
                  <w:tcBorders>
                    <w:top w:val="none" w:color="000000" w:sz="4"/>
                    <w:left w:val="none" w:color="000000" w:sz="4"/>
                    <w:bottom w:val="single" w:color="000000" w:sz="4"/>
                    <w:right w:val="single" w:color="000000" w:sz="4"/>
                  </w:tcBorders>
                  <w:vAlign w:val="top"/>
                </w:tcPr>
                <w:p>
                  <w:pPr>
                    <w:jc w:val="left"/>
                  </w:pPr>
                  <w:r>
                    <w:rPr>
                      <w:color w:val="000000"/>
                      <w:sz w:val="21"/>
                    </w:rPr>
                    <w:t>市局视频专网网云存储设备</w:t>
                  </w:r>
                </w:p>
              </w:tc>
              <w:tc>
                <w:tcPr>
                  <w:tcW w:type="dxa" w:w="2987"/>
                  <w:tcBorders>
                    <w:top w:val="none" w:color="000000" w:sz="4"/>
                    <w:left w:val="none" w:color="000000" w:sz="4"/>
                    <w:bottom w:val="single" w:color="000000" w:sz="4"/>
                    <w:right w:val="single" w:color="000000" w:sz="4"/>
                  </w:tcBorders>
                  <w:vAlign w:val="top"/>
                </w:tcPr>
                <w:p>
                  <w:pPr>
                    <w:jc w:val="left"/>
                  </w:pPr>
                  <w:r>
                    <w:rPr>
                      <w:color w:val="000000"/>
                      <w:sz w:val="21"/>
                    </w:rPr>
                    <w:t>分布式</w:t>
                  </w:r>
                  <w:r>
                    <w:rPr>
                      <w:color w:val="000000"/>
                      <w:sz w:val="21"/>
                    </w:rPr>
                    <w:t>NAS存储,每节点配置：64GB内存、36*10TB SATA硬盘、4*10GE光口。管理控制台软件授权，配置空间配额管理软件授权。</w:t>
                  </w:r>
                </w:p>
              </w:tc>
              <w:tc>
                <w:tcPr>
                  <w:tcW w:type="dxa" w:w="467"/>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357"/>
                  <w:tcBorders>
                    <w:top w:val="none" w:color="000000" w:sz="4"/>
                    <w:left w:val="none" w:color="000000" w:sz="4"/>
                    <w:bottom w:val="single" w:color="000000" w:sz="4"/>
                    <w:right w:val="single" w:color="000000" w:sz="4"/>
                  </w:tcBorders>
                  <w:vAlign w:val="top"/>
                </w:tcPr>
                <w:p>
                  <w:pPr>
                    <w:jc w:val="center"/>
                  </w:pPr>
                  <w:r>
                    <w:rPr>
                      <w:sz w:val="21"/>
                    </w:rPr>
                    <w:t>台</w:t>
                  </w:r>
                </w:p>
              </w:tc>
              <w:tc>
                <w:tcPr>
                  <w:tcW w:type="dxa" w:w="669"/>
                  <w:tcBorders>
                    <w:top w:val="none" w:color="000000" w:sz="4"/>
                    <w:left w:val="none" w:color="000000" w:sz="4"/>
                    <w:bottom w:val="single" w:color="000000" w:sz="4"/>
                    <w:right w:val="single" w:color="000000" w:sz="4"/>
                  </w:tcBorders>
                  <w:vAlign w:val="top"/>
                </w:tcPr>
                <w:p>
                  <w:pPr>
                    <w:jc w:val="center"/>
                  </w:pPr>
                  <w:r>
                    <w:rPr>
                      <w:sz w:val="21"/>
                    </w:rPr>
                    <w:t>利旧紫金县公安局智慧新警务项目设备</w:t>
                  </w:r>
                  <w:r>
                    <w:rPr>
                      <w:sz w:val="21"/>
                    </w:rPr>
                    <w:t>（不包含在本次招标范围内</w:t>
                  </w:r>
                  <w:r>
                    <w:rPr>
                      <w:sz w:val="21"/>
                    </w:rPr>
                    <w:t>）</w:t>
                  </w:r>
                </w:p>
              </w:tc>
            </w:tr>
            <w:tr>
              <w:tc>
                <w:tcPr>
                  <w:tcW w:type="dxa" w:w="302"/>
                  <w:tcBorders>
                    <w:top w:val="none" w:color="000000" w:sz="4"/>
                    <w:left w:val="single" w:color="000000" w:sz="4"/>
                    <w:bottom w:val="single" w:color="000000" w:sz="4"/>
                    <w:right w:val="single" w:color="000000" w:sz="4"/>
                  </w:tcBorders>
                  <w:vAlign w:val="top"/>
                </w:tcPr>
                <w:p>
                  <w:pPr>
                    <w:jc w:val="center"/>
                  </w:pPr>
                  <w:r>
                    <w:rPr>
                      <w:sz w:val="21"/>
                    </w:rPr>
                    <w:t>15</w:t>
                  </w:r>
                </w:p>
              </w:tc>
              <w:tc>
                <w:tcPr>
                  <w:tcW w:type="dxa" w:w="815"/>
                  <w:tcBorders>
                    <w:top w:val="none" w:color="000000" w:sz="4"/>
                    <w:left w:val="none" w:color="000000" w:sz="4"/>
                    <w:bottom w:val="single" w:color="000000" w:sz="4"/>
                    <w:right w:val="single" w:color="000000" w:sz="4"/>
                  </w:tcBorders>
                  <w:vAlign w:val="top"/>
                </w:tcPr>
                <w:p>
                  <w:pPr>
                    <w:jc w:val="left"/>
                  </w:pPr>
                  <w:r>
                    <w:rPr>
                      <w:color w:val="000000"/>
                      <w:sz w:val="21"/>
                    </w:rPr>
                    <w:t>市局公安网云存储设备</w:t>
                  </w:r>
                </w:p>
              </w:tc>
              <w:tc>
                <w:tcPr>
                  <w:tcW w:type="dxa" w:w="2987"/>
                  <w:tcBorders>
                    <w:top w:val="none" w:color="000000" w:sz="4"/>
                    <w:left w:val="none" w:color="000000" w:sz="4"/>
                    <w:bottom w:val="single" w:color="000000" w:sz="4"/>
                    <w:right w:val="single" w:color="000000" w:sz="4"/>
                  </w:tcBorders>
                  <w:vAlign w:val="top"/>
                </w:tcPr>
                <w:p>
                  <w:pPr>
                    <w:jc w:val="left"/>
                  </w:pPr>
                  <w:r>
                    <w:rPr>
                      <w:color w:val="000000"/>
                      <w:sz w:val="21"/>
                    </w:rPr>
                    <w:t>分布式</w:t>
                  </w:r>
                  <w:r>
                    <w:rPr>
                      <w:color w:val="000000"/>
                      <w:sz w:val="21"/>
                    </w:rPr>
                    <w:t>NAS存储,每节点配置：64GB内存、36*14TB SATA硬盘、4*10GE光口。管理控制台软件授权，配置空间配额管理软件授权。</w:t>
                  </w:r>
                </w:p>
              </w:tc>
              <w:tc>
                <w:tcPr>
                  <w:tcW w:type="dxa" w:w="467"/>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357"/>
                  <w:tcBorders>
                    <w:top w:val="none" w:color="000000" w:sz="4"/>
                    <w:left w:val="none" w:color="000000" w:sz="4"/>
                    <w:bottom w:val="single" w:color="000000" w:sz="4"/>
                    <w:right w:val="single" w:color="000000" w:sz="4"/>
                  </w:tcBorders>
                  <w:vAlign w:val="top"/>
                </w:tcPr>
                <w:p>
                  <w:pPr>
                    <w:jc w:val="center"/>
                  </w:pPr>
                  <w:r>
                    <w:rPr>
                      <w:sz w:val="21"/>
                    </w:rPr>
                    <w:t>台</w:t>
                  </w:r>
                </w:p>
              </w:tc>
              <w:tc>
                <w:tcPr>
                  <w:tcW w:type="dxa" w:w="669"/>
                  <w:tcBorders>
                    <w:top w:val="none" w:color="000000" w:sz="4"/>
                    <w:left w:val="none" w:color="000000" w:sz="4"/>
                    <w:bottom w:val="single" w:color="000000" w:sz="4"/>
                    <w:right w:val="single" w:color="000000" w:sz="4"/>
                  </w:tcBorders>
                  <w:vAlign w:val="top"/>
                </w:tcPr>
                <w:p>
                  <w:pPr>
                    <w:jc w:val="center"/>
                  </w:pPr>
                  <w:r>
                    <w:rPr>
                      <w:sz w:val="21"/>
                    </w:rPr>
                    <w:t>利旧紫金县公安局智慧新警务项目设备</w:t>
                  </w:r>
                  <w:r>
                    <w:rPr>
                      <w:sz w:val="21"/>
                    </w:rPr>
                    <w:t>（不包含在本次招标范围内</w:t>
                  </w:r>
                  <w:r>
                    <w:rPr>
                      <w:sz w:val="21"/>
                    </w:rPr>
                    <w:t>）</w:t>
                  </w:r>
                </w:p>
              </w:tc>
            </w:tr>
            <w:tr>
              <w:tc>
                <w:tcPr>
                  <w:tcW w:type="dxa" w:w="302"/>
                  <w:tcBorders>
                    <w:top w:val="none" w:color="000000" w:sz="4"/>
                    <w:left w:val="single" w:color="000000" w:sz="4"/>
                    <w:bottom w:val="single" w:color="000000" w:sz="4"/>
                    <w:right w:val="single" w:color="000000" w:sz="4"/>
                  </w:tcBorders>
                  <w:vAlign w:val="top"/>
                </w:tcPr>
                <w:p>
                  <w:pPr>
                    <w:jc w:val="center"/>
                  </w:pPr>
                  <w:r>
                    <w:rPr>
                      <w:sz w:val="21"/>
                    </w:rPr>
                    <w:t>16</w:t>
                  </w:r>
                </w:p>
              </w:tc>
              <w:tc>
                <w:tcPr>
                  <w:tcW w:type="dxa" w:w="815"/>
                  <w:tcBorders>
                    <w:top w:val="none" w:color="000000" w:sz="4"/>
                    <w:left w:val="none" w:color="000000" w:sz="4"/>
                    <w:bottom w:val="single" w:color="000000" w:sz="4"/>
                    <w:right w:val="single" w:color="000000" w:sz="4"/>
                  </w:tcBorders>
                  <w:vAlign w:val="top"/>
                </w:tcPr>
                <w:p>
                  <w:pPr>
                    <w:jc w:val="left"/>
                  </w:pPr>
                  <w:r>
                    <w:rPr>
                      <w:color w:val="000000"/>
                      <w:sz w:val="21"/>
                    </w:rPr>
                    <w:t>图像解析服务器</w:t>
                  </w:r>
                </w:p>
              </w:tc>
              <w:tc>
                <w:tcPr>
                  <w:tcW w:type="dxa" w:w="2987"/>
                  <w:tcBorders>
                    <w:top w:val="none" w:color="000000" w:sz="4"/>
                    <w:left w:val="none" w:color="000000" w:sz="4"/>
                    <w:bottom w:val="single" w:color="000000" w:sz="4"/>
                    <w:right w:val="single" w:color="000000" w:sz="4"/>
                  </w:tcBorders>
                  <w:vAlign w:val="top"/>
                </w:tcPr>
                <w:p>
                  <w:pPr>
                    <w:jc w:val="left"/>
                  </w:pPr>
                  <w:r>
                    <w:rPr>
                      <w:color w:val="000000"/>
                      <w:sz w:val="21"/>
                    </w:rPr>
                    <w:t>CPU: 2颗（2.2GHz/12核)；</w:t>
                  </w:r>
                </w:p>
                <w:p>
                  <w:pPr>
                    <w:jc w:val="left"/>
                  </w:pPr>
                  <w:r>
                    <w:rPr>
                      <w:color w:val="000000"/>
                      <w:sz w:val="21"/>
                    </w:rPr>
                    <w:t>内存：</w:t>
                  </w:r>
                  <w:r>
                    <w:rPr>
                      <w:color w:val="000000"/>
                      <w:sz w:val="21"/>
                    </w:rPr>
                    <w:t>64GB；</w:t>
                  </w:r>
                </w:p>
                <w:p>
                  <w:pPr>
                    <w:jc w:val="left"/>
                  </w:pPr>
                  <w:r>
                    <w:rPr>
                      <w:color w:val="000000"/>
                      <w:sz w:val="21"/>
                    </w:rPr>
                    <w:t>硬盘：</w:t>
                  </w:r>
                  <w:r>
                    <w:rPr>
                      <w:color w:val="000000"/>
                      <w:sz w:val="21"/>
                    </w:rPr>
                    <w:t>4*600GB 10K SAS；</w:t>
                  </w:r>
                </w:p>
                <w:p>
                  <w:pPr>
                    <w:jc w:val="left"/>
                  </w:pPr>
                  <w:r>
                    <w:rPr>
                      <w:color w:val="000000"/>
                      <w:sz w:val="21"/>
                    </w:rPr>
                    <w:t>网络：</w:t>
                  </w:r>
                  <w:r>
                    <w:rPr>
                      <w:color w:val="000000"/>
                      <w:sz w:val="21"/>
                    </w:rPr>
                    <w:t>2*GE，2*10GE光口（含光模块）；</w:t>
                  </w:r>
                </w:p>
                <w:p>
                  <w:pPr>
                    <w:jc w:val="left"/>
                  </w:pPr>
                  <w:r>
                    <w:rPr>
                      <w:color w:val="000000"/>
                      <w:sz w:val="21"/>
                    </w:rPr>
                    <w:t>GPU卡：4*Nvidia Tesla-T4；</w:t>
                  </w:r>
                </w:p>
                <w:p>
                  <w:pPr>
                    <w:jc w:val="left"/>
                  </w:pPr>
                  <w:r>
                    <w:rPr>
                      <w:color w:val="000000"/>
                      <w:sz w:val="21"/>
                    </w:rPr>
                    <w:t>RAID卡：支持RAID0/1/10；</w:t>
                  </w:r>
                </w:p>
                <w:p>
                  <w:pPr>
                    <w:jc w:val="left"/>
                  </w:pPr>
                  <w:r>
                    <w:rPr>
                      <w:color w:val="000000"/>
                      <w:sz w:val="21"/>
                    </w:rPr>
                    <w:t>电源：双白金交流电源；</w:t>
                  </w:r>
                </w:p>
                <w:p>
                  <w:pPr>
                    <w:jc w:val="left"/>
                  </w:pPr>
                  <w:r>
                    <w:rPr>
                      <w:color w:val="000000"/>
                      <w:sz w:val="21"/>
                    </w:rPr>
                    <w:t>操作系统：</w:t>
                  </w:r>
                  <w:r>
                    <w:rPr>
                      <w:color w:val="000000"/>
                      <w:sz w:val="21"/>
                    </w:rPr>
                    <w:t>CentOS 7.5或以上。</w:t>
                  </w:r>
                </w:p>
              </w:tc>
              <w:tc>
                <w:tcPr>
                  <w:tcW w:type="dxa" w:w="467"/>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357"/>
                  <w:tcBorders>
                    <w:top w:val="none" w:color="000000" w:sz="4"/>
                    <w:left w:val="none" w:color="000000" w:sz="4"/>
                    <w:bottom w:val="single" w:color="000000" w:sz="4"/>
                    <w:right w:val="single" w:color="000000" w:sz="4"/>
                  </w:tcBorders>
                  <w:vAlign w:val="top"/>
                </w:tcPr>
                <w:p>
                  <w:pPr>
                    <w:jc w:val="center"/>
                  </w:pPr>
                  <w:r>
                    <w:rPr>
                      <w:sz w:val="21"/>
                    </w:rPr>
                    <w:t>台</w:t>
                  </w:r>
                </w:p>
              </w:tc>
              <w:tc>
                <w:tcPr>
                  <w:tcW w:type="dxa" w:w="669"/>
                  <w:tcBorders>
                    <w:top w:val="none" w:color="000000" w:sz="4"/>
                    <w:left w:val="none" w:color="000000" w:sz="4"/>
                    <w:bottom w:val="single" w:color="000000" w:sz="4"/>
                    <w:right w:val="single" w:color="000000" w:sz="4"/>
                  </w:tcBorders>
                  <w:vAlign w:val="top"/>
                </w:tcPr>
                <w:p>
                  <w:pPr>
                    <w:jc w:val="center"/>
                  </w:pPr>
                  <w:r>
                    <w:rPr>
                      <w:sz w:val="21"/>
                    </w:rPr>
                    <w:t>利旧紫金县公安局智慧新警务项目设备</w:t>
                  </w:r>
                  <w:r>
                    <w:rPr>
                      <w:sz w:val="21"/>
                    </w:rPr>
                    <w:t>（不包含在本次招标范围内</w:t>
                  </w:r>
                  <w:r>
                    <w:rPr>
                      <w:sz w:val="21"/>
                    </w:rPr>
                    <w:t>）</w:t>
                  </w:r>
                </w:p>
              </w:tc>
            </w:tr>
          </w:tbl>
          <w:p>
            <w:pPr>
              <w:ind w:firstLine="422"/>
              <w:jc w:val="left"/>
            </w:pPr>
            <w:r>
              <w:rPr>
                <w:b/>
                <w:sz w:val="21"/>
              </w:rPr>
              <w:t>8.4监控立杆</w:t>
            </w:r>
          </w:p>
          <w:p>
            <w:pPr>
              <w:ind w:firstLine="420"/>
              <w:jc w:val="left"/>
            </w:pPr>
            <w:r>
              <w:rPr>
                <w:sz w:val="21"/>
              </w:rPr>
              <w:t>根据所需监控的范围、角度、场景以及现场条件来选择摄像机的安装方法，本项目由于大部分监控的地点都在道路或室外公共场所，摄像机的安装固定以立杆及挂壁为主。杆底端焊接固定法兰盘，预留拉线孔，地基应是硬质，同时根据现场安装点的地质的实际情况，调整相应的尺寸。立杆的安装应牢固，不得歪斜，需用水平仪来测定；制作要美观，其顶部应做防水帽。立杆应有较高强度，抗台风、防摄像机抖动、防攀爬、防腐。</w:t>
            </w:r>
          </w:p>
          <w:p>
            <w:pPr>
              <w:ind w:firstLine="420"/>
              <w:jc w:val="left"/>
            </w:pPr>
            <w:r>
              <w:rPr>
                <w:sz w:val="21"/>
              </w:rPr>
              <w:t>前端监控点的立杆按实际情况而定，可以利用原有路灯杆、电力杆加装横臂、墙壁等周边建筑设施，部分无杆件的地方考虑单独立杆。</w:t>
            </w:r>
          </w:p>
          <w:p>
            <w:pPr>
              <w:ind w:firstLine="422"/>
              <w:jc w:val="left"/>
            </w:pPr>
            <w:r>
              <w:rPr>
                <w:b/>
                <w:sz w:val="21"/>
              </w:rPr>
              <w:t>8.4.1立杆吊装方法</w:t>
            </w:r>
          </w:p>
          <w:p>
            <w:pPr>
              <w:ind w:firstLine="420"/>
              <w:jc w:val="left"/>
            </w:pPr>
            <w:r>
              <w:rPr>
                <w:sz w:val="21"/>
              </w:rPr>
              <w:t>立杆需在基础养护一段时间后进行，对采用硅酸盐水泥、普通硅酸盐水泥或矿渣硅酸盐水泥拌制的混凝土，不得少于</w:t>
            </w:r>
            <w:r>
              <w:rPr>
                <w:sz w:val="21"/>
              </w:rPr>
              <w:t>7天，养护期内温度确保零上5摄氏度及以上。对掺用缓凝外加剂、矿物掺和料或有抗渗性能要求的混凝土，不得少于14天，以确保混凝土能达到一定的安装强度。</w:t>
            </w:r>
          </w:p>
          <w:p>
            <w:pPr>
              <w:ind w:firstLine="422"/>
              <w:jc w:val="left"/>
            </w:pPr>
            <w:r>
              <w:rPr>
                <w:b/>
                <w:sz w:val="21"/>
              </w:rPr>
              <w:t>8.4.2立杆吊装工艺</w:t>
            </w:r>
          </w:p>
          <w:p>
            <w:pPr>
              <w:ind w:firstLine="420"/>
              <w:jc w:val="left"/>
            </w:pPr>
            <w:r>
              <w:rPr>
                <w:sz w:val="21"/>
              </w:rPr>
              <w:t>1）立杆在现场组装前，需提前和路政、各智感安防区业主单位及物业单位、交警部门协调沟通好，对车流量较大的路段需要有专人疏导交通，在不影响交通和确保人员安全情况下进行。</w:t>
            </w:r>
          </w:p>
          <w:p>
            <w:pPr>
              <w:ind w:firstLine="420"/>
              <w:jc w:val="left"/>
            </w:pPr>
            <w:r>
              <w:rPr>
                <w:sz w:val="21"/>
              </w:rPr>
              <w:t>2）立杆吊装区，使用安全路锥和警示牌隔离。</w:t>
            </w:r>
          </w:p>
          <w:p>
            <w:pPr>
              <w:ind w:firstLine="420"/>
              <w:jc w:val="left"/>
            </w:pPr>
            <w:r>
              <w:rPr>
                <w:sz w:val="21"/>
              </w:rPr>
              <w:t>3）立杆组装吊装时，占用道路宽度不超过7米，白天吊杆道路封闭距离与作业区保持最少30米，夜间作业情况下必须架设警示灯顺延至30M到150M之间处，所有现场人员（包括施工和指挥人员）必须穿着反光背心。</w:t>
            </w:r>
          </w:p>
          <w:p>
            <w:pPr>
              <w:ind w:firstLine="420"/>
              <w:jc w:val="left"/>
            </w:pPr>
            <w:r>
              <w:rPr>
                <w:sz w:val="21"/>
              </w:rPr>
              <w:t>4）在立杆吊装调整过程中，需保证横杆与竖杆的垂直度与平衡度。</w:t>
            </w:r>
          </w:p>
          <w:p>
            <w:pPr>
              <w:ind w:firstLine="422"/>
              <w:jc w:val="left"/>
            </w:pPr>
            <w:r>
              <w:rPr>
                <w:b/>
                <w:sz w:val="21"/>
              </w:rPr>
              <w:t>8.5</w:t>
            </w:r>
            <w:r>
              <w:rPr>
                <w:b/>
                <w:sz w:val="21"/>
              </w:rPr>
              <w:t>外场监控设备箱</w:t>
            </w:r>
            <w:r>
              <w:rPr>
                <w:b/>
                <w:sz w:val="21"/>
              </w:rPr>
              <w:t>要求</w:t>
            </w:r>
          </w:p>
          <w:p>
            <w:pPr>
              <w:ind w:firstLine="422"/>
              <w:jc w:val="left"/>
            </w:pPr>
            <w:r>
              <w:rPr>
                <w:b/>
                <w:sz w:val="21"/>
              </w:rPr>
              <w:t>8.5.1基本要求</w:t>
            </w:r>
          </w:p>
          <w:p>
            <w:pPr>
              <w:ind w:firstLine="420"/>
              <w:jc w:val="left"/>
            </w:pPr>
            <w:r>
              <w:rPr>
                <w:sz w:val="21"/>
              </w:rPr>
              <w:t>所有的电源、光纤收发器、防雷器等前端辅助设备都安装在设备箱内，内部安装架的设计充分考虑设备的安装位置，同时具有防雨、防尘、防高温、防盗等功能。不便于在立杆上部安装设备箱的，在地面设置设备机柜，其设计按照相关的规范标准执行，同时应具有防尘、防雨、防破坏等功能。</w:t>
            </w:r>
          </w:p>
          <w:p>
            <w:pPr>
              <w:ind w:firstLine="420"/>
              <w:jc w:val="left"/>
            </w:pPr>
            <w:r>
              <w:rPr>
                <w:sz w:val="21"/>
              </w:rPr>
              <w:t>1）设备箱应能放置光纤收发器、光纤终端盒、供电设备及防雷接地装置等前端设备。</w:t>
            </w:r>
          </w:p>
          <w:p>
            <w:pPr>
              <w:ind w:firstLine="420"/>
              <w:jc w:val="left"/>
            </w:pPr>
            <w:r>
              <w:rPr>
                <w:sz w:val="21"/>
              </w:rPr>
              <w:t>2）箱体大小应根据光纤收发器及其它配套设备的数量和尺寸来设计，应与杆体大小协调，应保证有充足的空间，方便设备安装和维护，建议箱体尺寸≥500mm高×400mm长×深度200mm。</w:t>
            </w:r>
          </w:p>
          <w:p>
            <w:pPr>
              <w:ind w:firstLine="420"/>
              <w:jc w:val="left"/>
            </w:pPr>
            <w:r>
              <w:rPr>
                <w:sz w:val="21"/>
              </w:rPr>
              <w:t>3）箱体材料应符合下列要求：</w:t>
            </w:r>
          </w:p>
          <w:p>
            <w:pPr>
              <w:ind w:firstLine="420"/>
              <w:jc w:val="left"/>
            </w:pPr>
            <w:r>
              <w:rPr>
                <w:sz w:val="21"/>
              </w:rPr>
              <w:t>用于箱体的金属材料，应具备抵抗腐蚀及电化学反应的能力。</w:t>
            </w:r>
          </w:p>
          <w:p>
            <w:pPr>
              <w:ind w:firstLine="420"/>
              <w:jc w:val="left"/>
            </w:pPr>
            <w:r>
              <w:rPr>
                <w:sz w:val="21"/>
              </w:rPr>
              <w:t>箱体宜采用优质冷轧钢板。</w:t>
            </w:r>
          </w:p>
          <w:p>
            <w:pPr>
              <w:ind w:firstLine="420"/>
              <w:jc w:val="left"/>
            </w:pPr>
            <w:r>
              <w:rPr>
                <w:sz w:val="21"/>
              </w:rPr>
              <w:t>箱体面板厚度应不小于</w:t>
            </w:r>
            <w:r>
              <w:rPr>
                <w:sz w:val="21"/>
              </w:rPr>
              <w:t>0.8mm。</w:t>
            </w:r>
          </w:p>
          <w:p>
            <w:pPr>
              <w:ind w:firstLine="420"/>
              <w:jc w:val="left"/>
            </w:pPr>
            <w:r>
              <w:rPr>
                <w:sz w:val="21"/>
              </w:rPr>
              <w:t>4）箱体表面应喷涂防锈油漆，箱体应有明显标识，表明设备箱用途，如“治安监控”字样。</w:t>
            </w:r>
          </w:p>
          <w:p>
            <w:pPr>
              <w:ind w:firstLine="420"/>
              <w:jc w:val="left"/>
            </w:pPr>
            <w:r>
              <w:rPr>
                <w:sz w:val="21"/>
              </w:rPr>
              <w:t>5）箱体进线孔必须有胶套保护，以防止各种线缆被刮伤。</w:t>
            </w:r>
          </w:p>
          <w:p>
            <w:pPr>
              <w:ind w:firstLine="420"/>
              <w:jc w:val="left"/>
            </w:pPr>
            <w:r>
              <w:rPr>
                <w:sz w:val="21"/>
              </w:rPr>
              <w:t>6）设备箱应根据安装方式，提供相应的安装附件。</w:t>
            </w:r>
          </w:p>
          <w:p>
            <w:pPr>
              <w:ind w:firstLine="422"/>
              <w:jc w:val="left"/>
            </w:pPr>
            <w:r>
              <w:rPr>
                <w:b/>
                <w:sz w:val="21"/>
              </w:rPr>
              <w:t>8.5.2环境适应性及机械性能</w:t>
            </w:r>
          </w:p>
          <w:p>
            <w:pPr>
              <w:ind w:firstLine="420"/>
              <w:jc w:val="left"/>
            </w:pPr>
            <w:r>
              <w:rPr>
                <w:sz w:val="21"/>
              </w:rPr>
              <w:t>1、温度适应性</w:t>
            </w:r>
          </w:p>
          <w:p>
            <w:pPr>
              <w:ind w:firstLine="420"/>
              <w:jc w:val="left"/>
            </w:pPr>
            <w:r>
              <w:rPr>
                <w:sz w:val="21"/>
              </w:rPr>
              <w:t>设备箱在经过高温和模拟太阳辐射试验后，不应出现以下缺陷：</w:t>
            </w:r>
          </w:p>
          <w:p>
            <w:pPr>
              <w:ind w:firstLine="420"/>
              <w:jc w:val="left"/>
            </w:pPr>
            <w:r>
              <w:rPr>
                <w:sz w:val="21"/>
              </w:rPr>
              <w:t>a）箱体的翘曲、损伤或损坏、永久变形；</w:t>
            </w:r>
          </w:p>
          <w:p>
            <w:pPr>
              <w:ind w:firstLine="420"/>
              <w:jc w:val="left"/>
            </w:pPr>
            <w:r>
              <w:rPr>
                <w:sz w:val="21"/>
              </w:rPr>
              <w:t>b）门、窗及孔口盖板等活动部件开关不灵活或闭锁不可靠。</w:t>
            </w:r>
          </w:p>
          <w:p>
            <w:pPr>
              <w:ind w:firstLine="420"/>
              <w:jc w:val="left"/>
            </w:pPr>
            <w:r>
              <w:rPr>
                <w:sz w:val="21"/>
              </w:rPr>
              <w:t>c）涂层、密封等部位的膨胀、开裂、脱落。</w:t>
            </w:r>
          </w:p>
          <w:p>
            <w:pPr>
              <w:ind w:firstLine="420"/>
              <w:jc w:val="left"/>
            </w:pPr>
            <w:r>
              <w:rPr>
                <w:sz w:val="21"/>
              </w:rPr>
              <w:t>d）安装件、紧固件的弯曲、松动、移位或损坏。</w:t>
            </w:r>
          </w:p>
          <w:p>
            <w:pPr>
              <w:ind w:firstLine="420"/>
              <w:jc w:val="left"/>
            </w:pPr>
            <w:r>
              <w:rPr>
                <w:sz w:val="21"/>
              </w:rPr>
              <w:t>e）金属件的锈蚀或涂覆层脱落。</w:t>
            </w:r>
          </w:p>
          <w:p>
            <w:pPr>
              <w:ind w:firstLine="420"/>
              <w:jc w:val="left"/>
            </w:pPr>
            <w:r>
              <w:rPr>
                <w:sz w:val="21"/>
              </w:rPr>
              <w:t>f）其它缺陷。</w:t>
            </w:r>
          </w:p>
          <w:p>
            <w:pPr>
              <w:ind w:firstLine="420"/>
              <w:jc w:val="left"/>
            </w:pPr>
            <w:r>
              <w:rPr>
                <w:sz w:val="21"/>
              </w:rPr>
              <w:t>2、防盐雾腐蚀</w:t>
            </w:r>
          </w:p>
          <w:p>
            <w:pPr>
              <w:ind w:firstLine="420"/>
              <w:jc w:val="left"/>
            </w:pPr>
            <w:r>
              <w:rPr>
                <w:sz w:val="21"/>
              </w:rPr>
              <w:t>经盐雾试验后，金属机柜应无腐蚀现象。</w:t>
            </w:r>
          </w:p>
          <w:p>
            <w:pPr>
              <w:ind w:firstLine="420"/>
              <w:jc w:val="left"/>
            </w:pPr>
            <w:r>
              <w:rPr>
                <w:sz w:val="21"/>
              </w:rPr>
              <w:t>3、防水</w:t>
            </w:r>
          </w:p>
          <w:p>
            <w:pPr>
              <w:ind w:firstLine="420"/>
              <w:jc w:val="left"/>
            </w:pPr>
            <w:r>
              <w:rPr>
                <w:sz w:val="21"/>
              </w:rPr>
              <w:t>箱体应符合</w:t>
            </w:r>
            <w:r>
              <w:rPr>
                <w:sz w:val="21"/>
              </w:rPr>
              <w:t>GB4208-1993《外壳防护等级》中的IPX5防水等级要求。箱体所有进出线口必须带防水锁扣。</w:t>
            </w:r>
          </w:p>
          <w:p>
            <w:pPr>
              <w:ind w:firstLine="420"/>
              <w:jc w:val="left"/>
            </w:pPr>
            <w:r>
              <w:rPr>
                <w:sz w:val="21"/>
              </w:rPr>
              <w:t>4、散热</w:t>
            </w:r>
          </w:p>
          <w:p>
            <w:pPr>
              <w:ind w:firstLine="420"/>
              <w:jc w:val="left"/>
            </w:pPr>
            <w:r>
              <w:rPr>
                <w:sz w:val="21"/>
              </w:rPr>
              <w:t>箱体底板应冲孔，孔应均匀分布，利于散热和排水；箱体左右两侧及中央上部宜开散热孔，可使用冲孔及百叶式。</w:t>
            </w:r>
          </w:p>
          <w:p>
            <w:pPr>
              <w:ind w:firstLine="420"/>
              <w:jc w:val="left"/>
            </w:pPr>
            <w:r>
              <w:rPr>
                <w:sz w:val="21"/>
              </w:rPr>
              <w:t>5、防尘</w:t>
            </w:r>
          </w:p>
          <w:p>
            <w:pPr>
              <w:ind w:firstLine="420"/>
              <w:jc w:val="left"/>
            </w:pPr>
            <w:r>
              <w:rPr>
                <w:sz w:val="21"/>
              </w:rPr>
              <w:t>设备箱的防尘等级应符合</w:t>
            </w:r>
            <w:r>
              <w:rPr>
                <w:sz w:val="21"/>
              </w:rPr>
              <w:t>GB4208-1993《外壳保护等级》中的IP4X防尘等级要求。</w:t>
            </w:r>
          </w:p>
          <w:p>
            <w:pPr>
              <w:ind w:firstLine="420"/>
              <w:jc w:val="left"/>
            </w:pPr>
            <w:r>
              <w:rPr>
                <w:sz w:val="21"/>
              </w:rPr>
              <w:t>6、防凝露</w:t>
            </w:r>
          </w:p>
          <w:p>
            <w:pPr>
              <w:ind w:firstLine="420"/>
              <w:jc w:val="left"/>
            </w:pPr>
            <w:r>
              <w:rPr>
                <w:sz w:val="21"/>
              </w:rPr>
              <w:t>a)当设备箱暴露在温度范围为5%～100%的外部环境中时，设备箱内部设备在运行前或运行后应避免凝露产生。</w:t>
            </w:r>
          </w:p>
          <w:p>
            <w:pPr>
              <w:ind w:firstLine="420"/>
              <w:jc w:val="left"/>
            </w:pPr>
            <w:r>
              <w:rPr>
                <w:sz w:val="21"/>
              </w:rPr>
              <w:t>b)当箱内设备工作时，不应在设备上形成凝露或凝露滴落在设备上。</w:t>
            </w:r>
          </w:p>
          <w:p>
            <w:pPr>
              <w:ind w:firstLine="420"/>
              <w:jc w:val="left"/>
            </w:pPr>
            <w:r>
              <w:rPr>
                <w:sz w:val="21"/>
              </w:rPr>
              <w:t>7、防风</w:t>
            </w:r>
          </w:p>
          <w:p>
            <w:pPr>
              <w:ind w:firstLine="420"/>
              <w:jc w:val="left"/>
            </w:pPr>
            <w:r>
              <w:rPr>
                <w:sz w:val="21"/>
              </w:rPr>
              <w:t>设备箱在正常使用状态下，应可承受</w:t>
            </w:r>
            <w:r>
              <w:rPr>
                <w:sz w:val="21"/>
              </w:rPr>
              <w:t>60m/s的强风破坏。</w:t>
            </w:r>
          </w:p>
          <w:p>
            <w:pPr>
              <w:ind w:firstLine="420"/>
              <w:jc w:val="left"/>
            </w:pPr>
            <w:r>
              <w:rPr>
                <w:sz w:val="21"/>
              </w:rPr>
              <w:t>8、防雷</w:t>
            </w:r>
          </w:p>
          <w:p>
            <w:pPr>
              <w:ind w:firstLine="420"/>
              <w:jc w:val="left"/>
            </w:pPr>
            <w:r>
              <w:rPr>
                <w:sz w:val="21"/>
              </w:rPr>
              <w:t>设备箱应考虑防雷块安装位置，且设备箱内部应有接地的接线柱，方便对外壳的接地保护。</w:t>
            </w:r>
          </w:p>
          <w:p>
            <w:pPr>
              <w:ind w:firstLine="420"/>
              <w:jc w:val="left"/>
            </w:pPr>
            <w:r>
              <w:rPr>
                <w:sz w:val="21"/>
              </w:rPr>
              <w:t>9、设备箱的散热孔洞应加装不锈钢纱网，防止虫、鼠等龃齿类动物侵入。</w:t>
            </w:r>
          </w:p>
          <w:p>
            <w:pPr>
              <w:ind w:firstLine="420"/>
              <w:jc w:val="left"/>
            </w:pPr>
            <w:r>
              <w:rPr>
                <w:sz w:val="21"/>
              </w:rPr>
              <w:t>10、机械性能要求</w:t>
            </w:r>
          </w:p>
          <w:p>
            <w:pPr>
              <w:ind w:firstLine="420"/>
              <w:jc w:val="left"/>
            </w:pPr>
            <w:r>
              <w:rPr>
                <w:sz w:val="21"/>
              </w:rPr>
              <w:t>箱体在经过机械试验和防风试验后，不应出现下列缺陷：</w:t>
            </w:r>
          </w:p>
          <w:p>
            <w:pPr>
              <w:ind w:firstLine="420"/>
              <w:jc w:val="left"/>
            </w:pPr>
            <w:r>
              <w:rPr>
                <w:sz w:val="21"/>
              </w:rPr>
              <w:t>a）出现影响形状、配合和功能和变形或损坏，如铰链、锁具、插销等功能损坏。</w:t>
            </w:r>
          </w:p>
          <w:p>
            <w:pPr>
              <w:ind w:firstLine="420"/>
              <w:jc w:val="left"/>
            </w:pPr>
            <w:r>
              <w:rPr>
                <w:sz w:val="21"/>
              </w:rPr>
              <w:t>b）脱层、翘曲、戳穿、损坏、和永久变形。</w:t>
            </w:r>
          </w:p>
          <w:p>
            <w:pPr>
              <w:ind w:firstLine="420"/>
              <w:jc w:val="left"/>
            </w:pPr>
            <w:r>
              <w:rPr>
                <w:sz w:val="21"/>
              </w:rPr>
              <w:t>c）门开、关不灵活，不可靠。</w:t>
            </w:r>
          </w:p>
          <w:p>
            <w:pPr>
              <w:ind w:firstLine="420"/>
              <w:jc w:val="left"/>
            </w:pPr>
            <w:r>
              <w:rPr>
                <w:sz w:val="21"/>
              </w:rPr>
              <w:t>d）密封部位的膨胀、开裂、脱落。</w:t>
            </w:r>
          </w:p>
          <w:p>
            <w:pPr>
              <w:ind w:firstLine="420"/>
              <w:jc w:val="left"/>
            </w:pPr>
            <w:r>
              <w:rPr>
                <w:sz w:val="21"/>
              </w:rPr>
              <w:t>e）安装件、紧固件的弯曲、松动、移位或损坏。</w:t>
            </w:r>
          </w:p>
          <w:p>
            <w:pPr>
              <w:ind w:firstLine="420"/>
              <w:jc w:val="left"/>
            </w:pPr>
            <w:r>
              <w:rPr>
                <w:sz w:val="21"/>
              </w:rPr>
              <w:t>f）门、盖板等活动部件转动不灵活、关（锁）不住、卡死。</w:t>
            </w:r>
          </w:p>
          <w:p>
            <w:pPr>
              <w:ind w:firstLine="422"/>
              <w:jc w:val="left"/>
            </w:pPr>
            <w:r>
              <w:rPr>
                <w:b/>
                <w:sz w:val="21"/>
              </w:rPr>
              <w:t>8.5.3设备箱安全性能</w:t>
            </w:r>
          </w:p>
          <w:p>
            <w:pPr>
              <w:ind w:firstLine="420"/>
              <w:jc w:val="left"/>
            </w:pPr>
            <w:r>
              <w:rPr>
                <w:sz w:val="21"/>
              </w:rPr>
              <w:t>1、一般要求:</w:t>
            </w:r>
          </w:p>
          <w:p>
            <w:pPr>
              <w:ind w:firstLine="420"/>
              <w:jc w:val="left"/>
            </w:pPr>
            <w:r>
              <w:rPr>
                <w:sz w:val="21"/>
              </w:rPr>
              <w:t>a）箱体应避免在装配、安装、使用和维护过程中可能造成的人身安全隐患，诸如锋边、毛刺等。</w:t>
            </w:r>
          </w:p>
          <w:p>
            <w:pPr>
              <w:ind w:firstLine="420"/>
              <w:jc w:val="left"/>
            </w:pPr>
            <w:r>
              <w:rPr>
                <w:sz w:val="21"/>
              </w:rPr>
              <w:t>b）箱体的抗电压要求能达到GB4942.2-1993《低压电器外壳防护等级》中的IP34等级要求。</w:t>
            </w:r>
          </w:p>
          <w:p>
            <w:pPr>
              <w:ind w:firstLine="420"/>
              <w:jc w:val="left"/>
            </w:pPr>
            <w:r>
              <w:rPr>
                <w:sz w:val="21"/>
              </w:rPr>
              <w:t>c）周围环境温度为55℃时，金属材料箱体表面不应超过75℃。</w:t>
            </w:r>
          </w:p>
          <w:p>
            <w:pPr>
              <w:ind w:firstLine="420"/>
              <w:jc w:val="left"/>
            </w:pPr>
            <w:r>
              <w:rPr>
                <w:sz w:val="21"/>
              </w:rPr>
              <w:t>d）箱体不允许使用无防松装置的螺纹连接作为结构和承载连接。</w:t>
            </w:r>
          </w:p>
          <w:p>
            <w:pPr>
              <w:ind w:firstLine="420"/>
              <w:jc w:val="left"/>
            </w:pPr>
            <w:r>
              <w:rPr>
                <w:sz w:val="21"/>
              </w:rPr>
              <w:t>2、接地保护要求:</w:t>
            </w:r>
          </w:p>
          <w:p>
            <w:pPr>
              <w:ind w:firstLine="420"/>
              <w:jc w:val="left"/>
            </w:pPr>
            <w:r>
              <w:rPr>
                <w:sz w:val="21"/>
              </w:rPr>
              <w:t>a）箱体内应设置接地排，接地排孔洞数能满足箱内所有设备接地要求。</w:t>
            </w:r>
          </w:p>
          <w:p>
            <w:pPr>
              <w:ind w:firstLine="420"/>
              <w:jc w:val="left"/>
            </w:pPr>
            <w:r>
              <w:rPr>
                <w:sz w:val="21"/>
              </w:rPr>
              <w:t>b）箱体的金属部分应互连并接至接地排，任意两点之间的连接电阻应小于0.1Ω。</w:t>
            </w:r>
          </w:p>
          <w:p>
            <w:pPr>
              <w:ind w:firstLine="420"/>
              <w:jc w:val="left"/>
            </w:pPr>
            <w:r>
              <w:rPr>
                <w:sz w:val="21"/>
              </w:rPr>
              <w:t>c）接地连接点应有清晰的接地标识。</w:t>
            </w:r>
          </w:p>
          <w:p>
            <w:pPr>
              <w:ind w:firstLine="420"/>
              <w:jc w:val="left"/>
            </w:pPr>
            <w:r>
              <w:rPr>
                <w:sz w:val="21"/>
              </w:rPr>
              <w:t>3、锁具要求:</w:t>
            </w:r>
          </w:p>
          <w:p>
            <w:pPr>
              <w:ind w:firstLine="420"/>
              <w:jc w:val="left"/>
            </w:pPr>
            <w:r>
              <w:rPr>
                <w:sz w:val="21"/>
              </w:rPr>
              <w:t>所有外门应使用锁具，抗破坏性能应符合</w:t>
            </w:r>
            <w:r>
              <w:rPr>
                <w:sz w:val="21"/>
              </w:rPr>
              <w:t>GA/T73-1994《机械防盗锁》中的B级要求。</w:t>
            </w:r>
          </w:p>
          <w:p>
            <w:pPr>
              <w:ind w:firstLine="422"/>
              <w:jc w:val="left"/>
            </w:pPr>
            <w:r>
              <w:rPr>
                <w:b/>
                <w:sz w:val="21"/>
              </w:rPr>
              <w:t>8.5.4挂杆箱安装方法</w:t>
            </w:r>
          </w:p>
          <w:p>
            <w:pPr>
              <w:ind w:firstLine="420"/>
              <w:jc w:val="left"/>
            </w:pPr>
            <w:r>
              <w:rPr>
                <w:sz w:val="21"/>
              </w:rPr>
              <w:t>（</w:t>
            </w:r>
            <w:r>
              <w:rPr>
                <w:sz w:val="21"/>
              </w:rPr>
              <w:t>1）挂杆机箱安装方法</w:t>
            </w:r>
          </w:p>
          <w:p>
            <w:pPr>
              <w:ind w:firstLine="420"/>
              <w:jc w:val="left"/>
            </w:pPr>
            <w:r>
              <w:rPr>
                <w:sz w:val="21"/>
              </w:rPr>
              <w:t>挂杆机箱长宽深尺寸为根据深化设计确定，一般不小于</w:t>
            </w:r>
            <w:r>
              <w:rPr>
                <w:sz w:val="21"/>
              </w:rPr>
              <w:t>0.6m×0.5m×0.4m，与杆件配套生产。</w:t>
            </w:r>
          </w:p>
          <w:p>
            <w:pPr>
              <w:ind w:firstLine="422"/>
              <w:jc w:val="left"/>
            </w:pPr>
            <w:r>
              <w:rPr>
                <w:b/>
                <w:sz w:val="21"/>
              </w:rPr>
              <w:t>安装示意图如下：</w:t>
            </w:r>
          </w:p>
          <w:p>
            <w:pPr>
              <w:ind w:firstLine="422"/>
              <w:jc w:val="left"/>
            </w:pPr>
            <w:r>
              <w:drawing>
                <wp:inline distT="0" distR="0" distB="0" distL="0">
                  <wp:extent cx="3554729" cy="4205977"/>
                  <wp:docPr id="3" name="Drawing 3" descr="img"/>
                  <a:graphic xmlns:a="http://schemas.openxmlformats.org/drawingml/2006/main">
                    <a:graphicData uri="http://schemas.openxmlformats.org/drawingml/2006/picture">
                      <pic:pic xmlns:pic="http://schemas.openxmlformats.org/drawingml/2006/picture">
                        <pic:nvPicPr>
                          <pic:cNvPr id="0" name="Picture 3" descr="img"/>
                          <pic:cNvPicPr>
                            <a:picLocks noChangeAspect="true"/>
                          </pic:cNvPicPr>
                        </pic:nvPicPr>
                        <pic:blipFill>
                          <a:blip r:embed="rId8"/>
                          <a:stretch>
                            <a:fillRect/>
                          </a:stretch>
                        </pic:blipFill>
                        <pic:spPr>
                          <a:xfrm>
                            <a:off x="0" y="0"/>
                            <a:ext cx="3554729" cy="4205977"/>
                          </a:xfrm>
                          <a:prstGeom prst="rect">
                            <a:avLst/>
                          </a:prstGeom>
                        </pic:spPr>
                      </pic:pic>
                    </a:graphicData>
                  </a:graphic>
                </wp:inline>
              </w:drawing>
            </w:r>
          </w:p>
          <w:p>
            <w:pPr>
              <w:jc w:val="both"/>
            </w:pPr>
            <w:r>
              <w:rPr>
                <w:sz w:val="21"/>
              </w:rPr>
              <w:t>机箱安装方式，机箱与底座之间用四个螺丝固定，且底座开孔用于穿线。</w:t>
            </w:r>
          </w:p>
          <w:p>
            <w:pPr>
              <w:jc w:val="both"/>
            </w:pPr>
            <w:r>
              <w:drawing>
                <wp:inline distT="0" distR="0" distB="0" distL="0">
                  <wp:extent cx="3554729" cy="6895785"/>
                  <wp:docPr id="4" name="Drawing 4" descr="img"/>
                  <a:graphic xmlns:a="http://schemas.openxmlformats.org/drawingml/2006/main">
                    <a:graphicData uri="http://schemas.openxmlformats.org/drawingml/2006/picture">
                      <pic:pic xmlns:pic="http://schemas.openxmlformats.org/drawingml/2006/picture">
                        <pic:nvPicPr>
                          <pic:cNvPr id="0" name="Picture 4" descr="img"/>
                          <pic:cNvPicPr>
                            <a:picLocks noChangeAspect="true"/>
                          </pic:cNvPicPr>
                        </pic:nvPicPr>
                        <pic:blipFill>
                          <a:blip r:embed="rId9"/>
                          <a:stretch>
                            <a:fillRect/>
                          </a:stretch>
                        </pic:blipFill>
                        <pic:spPr>
                          <a:xfrm>
                            <a:off x="0" y="0"/>
                            <a:ext cx="3554729" cy="6895785"/>
                          </a:xfrm>
                          <a:prstGeom prst="rect">
                            <a:avLst/>
                          </a:prstGeom>
                        </pic:spPr>
                      </pic:pic>
                    </a:graphicData>
                  </a:graphic>
                </wp:inline>
              </w:drawing>
            </w:r>
          </w:p>
          <w:p>
            <w:pPr>
              <w:ind w:firstLine="420"/>
              <w:jc w:val="left"/>
            </w:pPr>
            <w:r>
              <w:rPr>
                <w:sz w:val="21"/>
              </w:rPr>
              <w:t>机箱安装方式，机箱与杆件之间采用抱箍固定，且机箱底座开孔与杆件之间用金属波纹管相连穿线。</w:t>
            </w:r>
          </w:p>
          <w:p>
            <w:pPr>
              <w:ind w:firstLine="420"/>
              <w:jc w:val="left"/>
            </w:pPr>
            <w:r>
              <w:rPr>
                <w:sz w:val="21"/>
              </w:rPr>
              <w:t>（</w:t>
            </w:r>
            <w:r>
              <w:rPr>
                <w:sz w:val="21"/>
              </w:rPr>
              <w:t>2）挂杆机柜安装工艺</w:t>
            </w:r>
          </w:p>
          <w:p>
            <w:pPr>
              <w:ind w:firstLine="420"/>
              <w:jc w:val="left"/>
            </w:pPr>
            <w:r>
              <w:rPr>
                <w:sz w:val="21"/>
              </w:rPr>
              <w:t>安装机柜时注意机柜门垂直马路，并保证机柜安装牢固。</w:t>
            </w:r>
          </w:p>
          <w:p>
            <w:pPr>
              <w:ind w:firstLine="422"/>
              <w:jc w:val="left"/>
            </w:pPr>
            <w:r>
              <w:rPr>
                <w:b/>
                <w:sz w:val="21"/>
              </w:rPr>
              <w:t>8.6</w:t>
            </w:r>
            <w:r>
              <w:rPr>
                <w:b/>
                <w:sz w:val="21"/>
              </w:rPr>
              <w:t xml:space="preserve"> </w:t>
            </w:r>
            <w:r>
              <w:rPr>
                <w:b/>
                <w:sz w:val="21"/>
              </w:rPr>
              <w:t>前端防雷接地</w:t>
            </w:r>
            <w:r>
              <w:rPr>
                <w:b/>
                <w:sz w:val="21"/>
              </w:rPr>
              <w:t>要求</w:t>
            </w:r>
          </w:p>
          <w:p>
            <w:pPr>
              <w:ind w:firstLine="422"/>
              <w:jc w:val="left"/>
            </w:pPr>
            <w:r>
              <w:rPr>
                <w:b/>
                <w:sz w:val="21"/>
              </w:rPr>
              <w:t>8.6.1防雷接地网设计</w:t>
            </w:r>
          </w:p>
          <w:p>
            <w:pPr>
              <w:ind w:firstLine="420"/>
              <w:jc w:val="left"/>
            </w:pPr>
            <w:r>
              <w:rPr>
                <w:sz w:val="21"/>
              </w:rPr>
              <w:t>监控系统的防雷接地网设计严格执行国家的有关标准和规范，立杆防雷接地电阻</w:t>
            </w:r>
            <w:r>
              <w:rPr>
                <w:sz w:val="21"/>
              </w:rPr>
              <w:t>≦10Ω。</w:t>
            </w:r>
          </w:p>
          <w:p>
            <w:pPr>
              <w:jc w:val="both"/>
            </w:pPr>
            <w:r>
              <w:rPr>
                <w:sz w:val="21"/>
              </w:rPr>
              <w:t>接地网布置依据地形进行设计，立杆的基础由钢筋网加混凝土构成，首先用四根</w:t>
            </w:r>
            <w:r>
              <w:rPr>
                <w:sz w:val="21"/>
              </w:rPr>
              <w:t>Ф50毫米的钢管或50×50×5mm的角钢作为接地极，同时用镀锌扁钢把四根接地极焊接形成接地网的一部分，再把此接地网与法兰盘进行焊接，钢管或角钢需经过热镀锌工艺处理，以增加抗腐性能和提高其导电性能。如图所示：</w:t>
            </w:r>
          </w:p>
          <w:p>
            <w:pPr>
              <w:jc w:val="both"/>
            </w:pPr>
            <w:r>
              <w:drawing>
                <wp:inline distT="0" distR="0" distB="0" distL="0">
                  <wp:extent cx="3554729" cy="2417215"/>
                  <wp:docPr id="5" name="Drawing 5" descr="img"/>
                  <a:graphic xmlns:a="http://schemas.openxmlformats.org/drawingml/2006/main">
                    <a:graphicData uri="http://schemas.openxmlformats.org/drawingml/2006/picture">
                      <pic:pic xmlns:pic="http://schemas.openxmlformats.org/drawingml/2006/picture">
                        <pic:nvPicPr>
                          <pic:cNvPr id="0" name="Picture 5" descr="img"/>
                          <pic:cNvPicPr>
                            <a:picLocks noChangeAspect="true"/>
                          </pic:cNvPicPr>
                        </pic:nvPicPr>
                        <pic:blipFill>
                          <a:blip r:embed="rId10"/>
                          <a:stretch>
                            <a:fillRect/>
                          </a:stretch>
                        </pic:blipFill>
                        <pic:spPr>
                          <a:xfrm>
                            <a:off x="0" y="0"/>
                            <a:ext cx="3554729" cy="2417215"/>
                          </a:xfrm>
                          <a:prstGeom prst="rect">
                            <a:avLst/>
                          </a:prstGeom>
                        </pic:spPr>
                      </pic:pic>
                    </a:graphicData>
                  </a:graphic>
                </wp:inline>
              </w:drawing>
            </w:r>
          </w:p>
          <w:p>
            <w:pPr>
              <w:jc w:val="both"/>
            </w:pPr>
            <w:r>
              <w:rPr>
                <w:sz w:val="21"/>
              </w:rPr>
              <w:t>当土壤电阻率太高而不能满足要求时，采用垂直接地极＋减阻剂的方法使地网接地电阻符合要求。</w:t>
            </w:r>
          </w:p>
          <w:p>
            <w:pPr>
              <w:ind w:firstLine="422"/>
              <w:jc w:val="left"/>
            </w:pPr>
            <w:r>
              <w:rPr>
                <w:b/>
                <w:sz w:val="21"/>
              </w:rPr>
              <w:t>8.6.2前端设备防雷系统设计</w:t>
            </w:r>
          </w:p>
          <w:p>
            <w:pPr>
              <w:ind w:firstLine="420"/>
              <w:jc w:val="left"/>
            </w:pPr>
            <w:r>
              <w:rPr>
                <w:sz w:val="21"/>
              </w:rPr>
              <w:t>由于野外天气环境比较恶劣，为了保证设备的安全，本系统全面考虑整个监控网络的防雷问题，特别是前端摄像点和监控中心的防雷。</w:t>
            </w:r>
          </w:p>
          <w:p>
            <w:pPr>
              <w:ind w:firstLine="420"/>
              <w:jc w:val="left"/>
            </w:pPr>
            <w:r>
              <w:rPr>
                <w:sz w:val="21"/>
              </w:rPr>
              <w:t>为保护摄像机不受到直接雷击而在立杆上设计安装避雷针，避雷针采用不小于</w:t>
            </w:r>
            <w:r>
              <w:rPr>
                <w:sz w:val="21"/>
              </w:rPr>
              <w:t>φ25㎜的圆钢，并和立杆一次成型。在设备箱内对电源、信号线及控制线路安装相应的防感应雷措施的避雷器。为避免在现场产生感应雷高电位闪络放电和雷电波磁场而损坏设备，在安装现场所有的信号线路做屏蔽等电位接地处理。</w:t>
            </w:r>
          </w:p>
          <w:p>
            <w:pPr>
              <w:ind w:firstLine="420"/>
              <w:jc w:val="left"/>
            </w:pPr>
            <w:r>
              <w:rPr>
                <w:sz w:val="21"/>
              </w:rPr>
              <w:t>前端设备如摄像机置于接闪器（避雷针或其它接闪导体）有效保护范围之内。如有困难，避雷针也可以架设在摄像机的支撑杆上，引下线可直接利用金属杆本身或选用</w:t>
            </w:r>
            <w:r>
              <w:rPr>
                <w:sz w:val="21"/>
              </w:rPr>
              <w:t>Φ12的镀锌圆钢。为防止电磁感应，沿杆引上摄像机的电源线穿金属管屏蔽。为防止雷电波沿线路侵入前端设备，应在设备前的每条线路上加装合适的浪涌保护器（要求详见8.6.3）。</w:t>
            </w:r>
          </w:p>
          <w:p>
            <w:pPr>
              <w:ind w:firstLine="420"/>
              <w:jc w:val="left"/>
            </w:pPr>
            <w:r>
              <w:rPr>
                <w:sz w:val="21"/>
              </w:rPr>
              <w:t>1、当直流电源传输距离小于15米时</w:t>
            </w:r>
          </w:p>
          <w:p>
            <w:pPr>
              <w:ind w:firstLine="420"/>
              <w:jc w:val="left"/>
            </w:pPr>
            <w:r>
              <w:rPr>
                <w:sz w:val="21"/>
              </w:rPr>
              <w:t>当直流电源传输距离小于</w:t>
            </w:r>
            <w:r>
              <w:rPr>
                <w:sz w:val="21"/>
              </w:rPr>
              <w:t>15米时，高清网络摄像机的防雷电源盒网络信号的浪涌保护分述如下：</w:t>
            </w:r>
          </w:p>
          <w:p>
            <w:pPr>
              <w:ind w:firstLine="420"/>
              <w:jc w:val="left"/>
            </w:pPr>
            <w:r>
              <w:rPr>
                <w:sz w:val="21"/>
              </w:rPr>
              <w:t>a）电源浪涌保护器</w:t>
            </w:r>
          </w:p>
          <w:p>
            <w:pPr>
              <w:ind w:firstLine="420"/>
              <w:jc w:val="left"/>
            </w:pPr>
            <w:r>
              <w:rPr>
                <w:sz w:val="21"/>
              </w:rPr>
              <w:t>交流电源经配置的自动重合闸开关引接入设备箱使用时，单相电源浪涌保护器应安装在自动重合闸开关只后，适配器之前，并且最大放电电流不小于</w:t>
            </w:r>
            <w:r>
              <w:rPr>
                <w:sz w:val="21"/>
              </w:rPr>
              <w:t>35KA，其他技术指标见后。</w:t>
            </w:r>
          </w:p>
          <w:p>
            <w:pPr>
              <w:ind w:firstLine="420"/>
              <w:jc w:val="left"/>
            </w:pPr>
            <w:r>
              <w:rPr>
                <w:sz w:val="21"/>
              </w:rPr>
              <w:t>b)网络信号浪涌保护器</w:t>
            </w:r>
          </w:p>
          <w:p>
            <w:pPr>
              <w:ind w:firstLine="420"/>
              <w:jc w:val="left"/>
            </w:pPr>
            <w:r>
              <w:rPr>
                <w:sz w:val="21"/>
              </w:rPr>
              <w:t>网络信号浪涌保护器应该安装在交换机之后，一杆多机的要有相对应的网口通过信号，最大放电大楼不小于</w:t>
            </w:r>
            <w:r>
              <w:rPr>
                <w:sz w:val="21"/>
              </w:rPr>
              <w:t>10KA,，具有使用寿命长，防护等级高的特点。</w:t>
            </w:r>
          </w:p>
          <w:p>
            <w:pPr>
              <w:ind w:firstLine="420"/>
              <w:jc w:val="left"/>
            </w:pPr>
            <w:r>
              <w:rPr>
                <w:sz w:val="21"/>
              </w:rPr>
              <w:t>2、当直流电源传输距离大于15米时</w:t>
            </w:r>
          </w:p>
          <w:p>
            <w:pPr>
              <w:ind w:firstLine="420"/>
              <w:jc w:val="left"/>
            </w:pPr>
            <w:r>
              <w:rPr>
                <w:sz w:val="21"/>
              </w:rPr>
              <w:t>前端摄像机电源使用</w:t>
            </w:r>
            <w:r>
              <w:rPr>
                <w:sz w:val="21"/>
              </w:rPr>
              <w:t>AC24V或DC12V，由变压器供电的，单相电源浪涌保护器应串联或并联在变压器前端，则摄像机端还应串接低压直流浪涌保护器或者网络浪涌保护器。</w:t>
            </w:r>
          </w:p>
          <w:p>
            <w:pPr>
              <w:ind w:firstLine="420"/>
              <w:jc w:val="left"/>
            </w:pPr>
            <w:r>
              <w:rPr>
                <w:sz w:val="21"/>
              </w:rPr>
              <w:t>同时选择防护等级比较高的防雷箱体，同时在里面配置交流电源浪涌保护器、直流电源浪涌保护器和网络信号浪涌保护。</w:t>
            </w:r>
          </w:p>
          <w:p>
            <w:pPr>
              <w:ind w:firstLine="422"/>
              <w:jc w:val="left"/>
            </w:pPr>
            <w:r>
              <w:rPr>
                <w:b/>
                <w:sz w:val="21"/>
              </w:rPr>
              <w:t>8.6.3防浪涌保护器的特殊要求</w:t>
            </w:r>
          </w:p>
          <w:p>
            <w:pPr>
              <w:ind w:firstLine="420"/>
              <w:jc w:val="left"/>
            </w:pPr>
            <w:r>
              <w:rPr>
                <w:sz w:val="21"/>
              </w:rPr>
              <w:t>考虑到地网地阻值很快因地下客观环境的变化而升高，这样浪涌保护器的效果就会渐渐变差（或失效），如果地网改造不及时，或压根没钱进行改造时，因防雷效果变差后，雷电对相关设备的冲击损伤（甚至容易打坏），导致相关监控设备故障率频发，使用寿命缩短。这些都极大影响设备工作的效率，从而影响治安工作。所以除了满足以上提出的一些传统浪涌保护器的国家规范外，还要求具有能够克服这些弊端的创新产品</w:t>
            </w:r>
            <w:r>
              <w:rPr>
                <w:sz w:val="21"/>
              </w:rPr>
              <w:t>“等电位”浪涌保护器。</w:t>
            </w:r>
          </w:p>
          <w:p>
            <w:pPr>
              <w:ind w:firstLine="422"/>
              <w:jc w:val="left"/>
            </w:pPr>
            <w:r>
              <w:rPr>
                <w:b/>
                <w:sz w:val="21"/>
              </w:rPr>
              <w:t>8.6.4“等电位”浪涌保护器前端安装要求</w:t>
            </w:r>
          </w:p>
          <w:p>
            <w:pPr>
              <w:ind w:firstLine="420"/>
              <w:jc w:val="left"/>
            </w:pPr>
            <w:r>
              <w:rPr>
                <w:sz w:val="21"/>
              </w:rPr>
              <w:t>用</w:t>
            </w:r>
            <w:r>
              <w:rPr>
                <w:sz w:val="21"/>
              </w:rPr>
              <w:t>“等电位”防雷器，接地与不接地时，都不影响防雷效果，但一定要和机箱做好等电位连接。</w:t>
            </w:r>
          </w:p>
          <w:p>
            <w:pPr>
              <w:ind w:firstLine="422"/>
              <w:jc w:val="left"/>
            </w:pPr>
            <w:r>
              <w:rPr>
                <w:b/>
                <w:sz w:val="21"/>
              </w:rPr>
              <w:t>8.7</w:t>
            </w:r>
            <w:r>
              <w:rPr>
                <w:b/>
                <w:sz w:val="21"/>
              </w:rPr>
              <w:t>监控标志牌设计</w:t>
            </w:r>
            <w:r>
              <w:rPr>
                <w:b/>
                <w:sz w:val="21"/>
              </w:rPr>
              <w:t>要求</w:t>
            </w:r>
          </w:p>
          <w:p>
            <w:pPr>
              <w:ind w:firstLine="420"/>
              <w:jc w:val="left"/>
            </w:pPr>
            <w:r>
              <w:rPr>
                <w:sz w:val="21"/>
              </w:rPr>
              <w:t>各监控点立杆上设立监控区域明显标志。户外监控标志一般用扣襻固定安装在监控立杆上，监控标志下边距地面高度保持在</w:t>
            </w:r>
            <w:r>
              <w:rPr>
                <w:sz w:val="21"/>
              </w:rPr>
              <w:t>2.5米以上。现场无现成立杆可以安装的，安装在建筑外墙上。</w:t>
            </w:r>
          </w:p>
          <w:p>
            <w:pPr>
              <w:ind w:firstLine="422"/>
              <w:jc w:val="left"/>
            </w:pPr>
            <w:r>
              <w:rPr>
                <w:b/>
                <w:sz w:val="21"/>
              </w:rPr>
              <w:t>设计图样一（竖向）：</w:t>
            </w:r>
          </w:p>
          <w:p>
            <w:pPr>
              <w:ind w:firstLine="422"/>
              <w:jc w:val="left"/>
            </w:pPr>
            <w:r>
              <w:drawing>
                <wp:inline distT="0" distR="0" distB="0" distL="0">
                  <wp:extent cx="3554729" cy="3930606"/>
                  <wp:docPr id="6" name="Drawing 6" descr="img"/>
                  <a:graphic xmlns:a="http://schemas.openxmlformats.org/drawingml/2006/main">
                    <a:graphicData uri="http://schemas.openxmlformats.org/drawingml/2006/picture">
                      <pic:pic xmlns:pic="http://schemas.openxmlformats.org/drawingml/2006/picture">
                        <pic:nvPicPr>
                          <pic:cNvPr id="0" name="Picture 6" descr="img"/>
                          <pic:cNvPicPr>
                            <a:picLocks noChangeAspect="true"/>
                          </pic:cNvPicPr>
                        </pic:nvPicPr>
                        <pic:blipFill>
                          <a:blip r:embed="rId11"/>
                          <a:stretch>
                            <a:fillRect/>
                          </a:stretch>
                        </pic:blipFill>
                        <pic:spPr>
                          <a:xfrm>
                            <a:off x="0" y="0"/>
                            <a:ext cx="3554729" cy="3930606"/>
                          </a:xfrm>
                          <a:prstGeom prst="rect">
                            <a:avLst/>
                          </a:prstGeom>
                        </pic:spPr>
                      </pic:pic>
                    </a:graphicData>
                  </a:graphic>
                </wp:inline>
              </w:drawing>
            </w:r>
          </w:p>
          <w:p>
            <w:pPr>
              <w:ind w:firstLine="420"/>
              <w:jc w:val="left"/>
            </w:pPr>
            <w:r>
              <w:rPr>
                <w:sz w:val="21"/>
              </w:rPr>
              <w:t>1、外框尺寸：宽*高</w:t>
            </w:r>
          </w:p>
          <w:p>
            <w:pPr>
              <w:ind w:firstLine="420"/>
              <w:jc w:val="left"/>
            </w:pPr>
            <w:r>
              <w:rPr>
                <w:sz w:val="21"/>
              </w:rPr>
              <w:t>第一层蓝色框：</w:t>
            </w:r>
            <w:r>
              <w:rPr>
                <w:sz w:val="21"/>
              </w:rPr>
              <w:t>300mm*400mm</w:t>
            </w:r>
          </w:p>
          <w:p>
            <w:pPr>
              <w:ind w:firstLine="420"/>
              <w:jc w:val="left"/>
            </w:pPr>
            <w:r>
              <w:rPr>
                <w:sz w:val="21"/>
              </w:rPr>
              <w:t>第二层白色框：</w:t>
            </w:r>
            <w:r>
              <w:rPr>
                <w:sz w:val="21"/>
              </w:rPr>
              <w:t>284mm*384mm</w:t>
            </w:r>
          </w:p>
          <w:p>
            <w:pPr>
              <w:ind w:firstLine="420"/>
              <w:jc w:val="left"/>
            </w:pPr>
            <w:r>
              <w:rPr>
                <w:sz w:val="21"/>
              </w:rPr>
              <w:t>第三层蓝色框：</w:t>
            </w:r>
            <w:r>
              <w:rPr>
                <w:sz w:val="21"/>
              </w:rPr>
              <w:t>270mm*370mm</w:t>
            </w:r>
          </w:p>
          <w:p>
            <w:pPr>
              <w:ind w:firstLine="420"/>
              <w:jc w:val="left"/>
            </w:pPr>
            <w:r>
              <w:rPr>
                <w:sz w:val="21"/>
              </w:rPr>
              <w:t>方型框圆滑度均为：</w:t>
            </w:r>
            <w:r>
              <w:rPr>
                <w:sz w:val="21"/>
              </w:rPr>
              <w:t>5</w:t>
            </w:r>
          </w:p>
          <w:p>
            <w:pPr>
              <w:ind w:firstLine="420"/>
              <w:jc w:val="left"/>
            </w:pPr>
            <w:r>
              <w:rPr>
                <w:sz w:val="21"/>
              </w:rPr>
              <w:t>2、图标尺寸：</w:t>
            </w:r>
          </w:p>
          <w:p>
            <w:pPr>
              <w:ind w:firstLine="420"/>
              <w:jc w:val="left"/>
            </w:pPr>
            <w:r>
              <w:rPr>
                <w:sz w:val="21"/>
              </w:rPr>
              <w:t>图标外框：</w:t>
            </w:r>
            <w:r>
              <w:rPr>
                <w:sz w:val="21"/>
              </w:rPr>
              <w:t>160mm*160mm</w:t>
            </w:r>
          </w:p>
          <w:p>
            <w:pPr>
              <w:ind w:firstLine="420"/>
              <w:jc w:val="left"/>
            </w:pPr>
            <w:r>
              <w:rPr>
                <w:sz w:val="21"/>
              </w:rPr>
              <w:t>图标内框：</w:t>
            </w:r>
            <w:r>
              <w:rPr>
                <w:sz w:val="21"/>
              </w:rPr>
              <w:t>150mm*150mm</w:t>
            </w:r>
          </w:p>
          <w:p>
            <w:pPr>
              <w:ind w:firstLine="420"/>
              <w:jc w:val="left"/>
            </w:pPr>
            <w:r>
              <w:rPr>
                <w:sz w:val="21"/>
              </w:rPr>
              <w:t>图标尺寸：</w:t>
            </w:r>
            <w:r>
              <w:rPr>
                <w:sz w:val="21"/>
              </w:rPr>
              <w:t>131mm*128mm</w:t>
            </w:r>
          </w:p>
          <w:p>
            <w:pPr>
              <w:ind w:firstLine="420"/>
              <w:jc w:val="left"/>
            </w:pPr>
            <w:r>
              <w:rPr>
                <w:sz w:val="21"/>
              </w:rPr>
              <w:t>（注：图标</w:t>
            </w:r>
            <w:r>
              <w:rPr>
                <w:sz w:val="21"/>
              </w:rPr>
              <w:t>LOGO有生成文件，可直接粘贴使用。）</w:t>
            </w:r>
          </w:p>
          <w:p>
            <w:pPr>
              <w:ind w:firstLine="420"/>
              <w:jc w:val="left"/>
            </w:pPr>
            <w:r>
              <w:rPr>
                <w:sz w:val="21"/>
              </w:rPr>
              <w:t>3、字体尺寸：</w:t>
            </w:r>
          </w:p>
          <w:p>
            <w:pPr>
              <w:ind w:firstLine="420"/>
              <w:jc w:val="left"/>
            </w:pPr>
            <w:r>
              <w:rPr>
                <w:sz w:val="21"/>
              </w:rPr>
              <w:t>字体：黑体</w:t>
            </w:r>
          </w:p>
          <w:p>
            <w:pPr>
              <w:ind w:firstLine="420"/>
              <w:jc w:val="left"/>
            </w:pPr>
            <w:r>
              <w:rPr>
                <w:sz w:val="21"/>
              </w:rPr>
              <w:t>尺寸：</w:t>
            </w:r>
            <w:r>
              <w:rPr>
                <w:sz w:val="21"/>
              </w:rPr>
              <w:t>100号字</w:t>
            </w:r>
          </w:p>
          <w:p>
            <w:pPr>
              <w:ind w:firstLine="420"/>
              <w:jc w:val="left"/>
            </w:pPr>
            <w:r>
              <w:rPr>
                <w:sz w:val="21"/>
              </w:rPr>
              <w:t>字体与图标间隔尺寸：</w:t>
            </w:r>
            <w:r>
              <w:rPr>
                <w:sz w:val="21"/>
              </w:rPr>
              <w:t>12mm</w:t>
            </w:r>
          </w:p>
          <w:p>
            <w:pPr>
              <w:ind w:firstLine="420"/>
              <w:jc w:val="left"/>
            </w:pPr>
            <w:r>
              <w:rPr>
                <w:sz w:val="21"/>
              </w:rPr>
              <w:t>字体与</w:t>
            </w:r>
            <w:r>
              <w:rPr>
                <w:sz w:val="21"/>
              </w:rPr>
              <w:t>“编号”字样间隔尺寸：30mm</w:t>
            </w:r>
          </w:p>
          <w:p>
            <w:pPr>
              <w:ind w:firstLine="422"/>
              <w:jc w:val="left"/>
            </w:pPr>
            <w:r>
              <w:rPr>
                <w:b/>
                <w:sz w:val="21"/>
              </w:rPr>
              <w:t>设计图样二（横向）：</w:t>
            </w:r>
          </w:p>
          <w:p>
            <w:pPr>
              <w:jc w:val="both"/>
            </w:pPr>
            <w:r>
              <w:drawing>
                <wp:inline distT="0" distR="0" distB="0" distL="0">
                  <wp:extent cx="3554729" cy="2722629"/>
                  <wp:docPr id="7" name="Drawing 7" descr="img"/>
                  <a:graphic xmlns:a="http://schemas.openxmlformats.org/drawingml/2006/main">
                    <a:graphicData uri="http://schemas.openxmlformats.org/drawingml/2006/picture">
                      <pic:pic xmlns:pic="http://schemas.openxmlformats.org/drawingml/2006/picture">
                        <pic:nvPicPr>
                          <pic:cNvPr id="0" name="Picture 7" descr="img"/>
                          <pic:cNvPicPr>
                            <a:picLocks noChangeAspect="true"/>
                          </pic:cNvPicPr>
                        </pic:nvPicPr>
                        <pic:blipFill>
                          <a:blip r:embed="rId12"/>
                          <a:stretch>
                            <a:fillRect/>
                          </a:stretch>
                        </pic:blipFill>
                        <pic:spPr>
                          <a:xfrm>
                            <a:off x="0" y="0"/>
                            <a:ext cx="3554729" cy="2722629"/>
                          </a:xfrm>
                          <a:prstGeom prst="rect">
                            <a:avLst/>
                          </a:prstGeom>
                        </pic:spPr>
                      </pic:pic>
                    </a:graphicData>
                  </a:graphic>
                </wp:inline>
              </w:drawing>
            </w:r>
          </w:p>
          <w:p>
            <w:pPr>
              <w:ind w:firstLine="420"/>
              <w:jc w:val="left"/>
            </w:pPr>
            <w:r>
              <w:rPr>
                <w:sz w:val="21"/>
              </w:rPr>
              <w:t>1、外框尺寸：宽*高</w:t>
            </w:r>
          </w:p>
          <w:p>
            <w:pPr>
              <w:ind w:firstLine="420"/>
              <w:jc w:val="left"/>
            </w:pPr>
            <w:r>
              <w:rPr>
                <w:sz w:val="21"/>
              </w:rPr>
              <w:t>第一层蓝色框：</w:t>
            </w:r>
            <w:r>
              <w:rPr>
                <w:sz w:val="21"/>
              </w:rPr>
              <w:t>450mm*300mm</w:t>
            </w:r>
          </w:p>
          <w:p>
            <w:pPr>
              <w:ind w:firstLine="420"/>
              <w:jc w:val="left"/>
            </w:pPr>
            <w:r>
              <w:rPr>
                <w:sz w:val="21"/>
              </w:rPr>
              <w:t>第二层白色框：</w:t>
            </w:r>
            <w:r>
              <w:rPr>
                <w:sz w:val="21"/>
              </w:rPr>
              <w:t>434mm*284mm</w:t>
            </w:r>
          </w:p>
          <w:p>
            <w:pPr>
              <w:ind w:firstLine="420"/>
              <w:jc w:val="left"/>
            </w:pPr>
            <w:r>
              <w:rPr>
                <w:sz w:val="21"/>
              </w:rPr>
              <w:t>第三层蓝色框：</w:t>
            </w:r>
            <w:r>
              <w:rPr>
                <w:sz w:val="21"/>
              </w:rPr>
              <w:t>420mm*270mm</w:t>
            </w:r>
          </w:p>
          <w:p>
            <w:pPr>
              <w:ind w:firstLine="420"/>
              <w:jc w:val="left"/>
            </w:pPr>
            <w:r>
              <w:rPr>
                <w:sz w:val="21"/>
              </w:rPr>
              <w:t>方型框圆滑度均为：</w:t>
            </w:r>
            <w:r>
              <w:rPr>
                <w:sz w:val="21"/>
              </w:rPr>
              <w:t>5</w:t>
            </w:r>
          </w:p>
          <w:p>
            <w:pPr>
              <w:ind w:firstLine="420"/>
              <w:jc w:val="left"/>
            </w:pPr>
            <w:r>
              <w:rPr>
                <w:sz w:val="21"/>
              </w:rPr>
              <w:t>2、图标尺寸：</w:t>
            </w:r>
          </w:p>
          <w:p>
            <w:pPr>
              <w:ind w:firstLine="420"/>
              <w:jc w:val="left"/>
            </w:pPr>
            <w:r>
              <w:rPr>
                <w:sz w:val="21"/>
              </w:rPr>
              <w:t>图标外框：</w:t>
            </w:r>
            <w:r>
              <w:rPr>
                <w:sz w:val="21"/>
              </w:rPr>
              <w:t>155mm*155mm</w:t>
            </w:r>
          </w:p>
          <w:p>
            <w:pPr>
              <w:ind w:firstLine="420"/>
              <w:jc w:val="left"/>
            </w:pPr>
            <w:r>
              <w:rPr>
                <w:sz w:val="21"/>
              </w:rPr>
              <w:t>图标内框：</w:t>
            </w:r>
            <w:r>
              <w:rPr>
                <w:sz w:val="21"/>
              </w:rPr>
              <w:t>145mm*145mm</w:t>
            </w:r>
          </w:p>
          <w:p>
            <w:pPr>
              <w:ind w:firstLine="420"/>
              <w:jc w:val="left"/>
            </w:pPr>
            <w:r>
              <w:rPr>
                <w:sz w:val="21"/>
              </w:rPr>
              <w:t>图标尺寸：</w:t>
            </w:r>
            <w:r>
              <w:rPr>
                <w:sz w:val="21"/>
              </w:rPr>
              <w:t>131mm*128mm</w:t>
            </w:r>
          </w:p>
          <w:p>
            <w:pPr>
              <w:ind w:firstLine="420"/>
              <w:jc w:val="left"/>
            </w:pPr>
            <w:r>
              <w:rPr>
                <w:sz w:val="21"/>
              </w:rPr>
              <w:t>（注：图标</w:t>
            </w:r>
            <w:r>
              <w:rPr>
                <w:sz w:val="21"/>
              </w:rPr>
              <w:t>LOGO有生成文件，可直接粘贴使用。）</w:t>
            </w:r>
          </w:p>
          <w:p>
            <w:pPr>
              <w:ind w:firstLine="420"/>
              <w:jc w:val="left"/>
            </w:pPr>
            <w:r>
              <w:rPr>
                <w:sz w:val="21"/>
              </w:rPr>
              <w:t>3、字体尺寸：</w:t>
            </w:r>
          </w:p>
          <w:p>
            <w:pPr>
              <w:ind w:firstLine="420"/>
              <w:jc w:val="left"/>
            </w:pPr>
            <w:r>
              <w:rPr>
                <w:sz w:val="21"/>
              </w:rPr>
              <w:t>字体：黑体</w:t>
            </w:r>
          </w:p>
          <w:p>
            <w:pPr>
              <w:ind w:firstLine="420"/>
              <w:jc w:val="left"/>
            </w:pPr>
            <w:r>
              <w:rPr>
                <w:sz w:val="21"/>
              </w:rPr>
              <w:t>尺寸：</w:t>
            </w:r>
            <w:r>
              <w:rPr>
                <w:sz w:val="21"/>
              </w:rPr>
              <w:t>100号字</w:t>
            </w:r>
          </w:p>
          <w:p>
            <w:pPr>
              <w:ind w:firstLine="420"/>
              <w:jc w:val="left"/>
            </w:pPr>
            <w:r>
              <w:rPr>
                <w:sz w:val="21"/>
              </w:rPr>
              <w:t>字体与第三层篮色框间隔尺寸：</w:t>
            </w:r>
            <w:r>
              <w:rPr>
                <w:sz w:val="21"/>
              </w:rPr>
              <w:t>50.5mm</w:t>
            </w:r>
          </w:p>
          <w:p>
            <w:pPr>
              <w:ind w:firstLine="420"/>
              <w:jc w:val="left"/>
            </w:pPr>
            <w:r>
              <w:rPr>
                <w:sz w:val="21"/>
              </w:rPr>
              <w:t>字体与</w:t>
            </w:r>
            <w:r>
              <w:rPr>
                <w:sz w:val="21"/>
              </w:rPr>
              <w:t>“编号”字样间隔尺寸：30mm</w:t>
            </w:r>
          </w:p>
          <w:p>
            <w:pPr>
              <w:ind w:firstLine="422"/>
              <w:jc w:val="left"/>
            </w:pPr>
            <w:r>
              <w:rPr>
                <w:b/>
                <w:sz w:val="21"/>
              </w:rPr>
              <w:t>8.8监控点位取电要求</w:t>
            </w:r>
          </w:p>
          <w:p>
            <w:pPr>
              <w:ind w:firstLine="420"/>
              <w:jc w:val="left"/>
            </w:pPr>
            <w:r>
              <w:rPr>
                <w:sz w:val="21"/>
              </w:rPr>
              <w:t>各摄像机需采用就近取电方式，接入</w:t>
            </w:r>
            <w:r>
              <w:rPr>
                <w:sz w:val="21"/>
              </w:rPr>
              <w:t>220V可靠稳定的电力供应。摄像机在就近的公共供电网络(如路灯供电网)取一路220V市电，市电经加装自动重合闸开关（含SPD），引到设备箱使用，保障引入部分电源线路的漏电及防雷防护。</w:t>
            </w:r>
          </w:p>
          <w:p>
            <w:pPr>
              <w:ind w:firstLine="420"/>
              <w:jc w:val="left"/>
            </w:pPr>
            <w:r>
              <w:rPr>
                <w:sz w:val="21"/>
              </w:rPr>
              <w:t>监控系统设备供电具有多样化，远端设备可适应直流</w:t>
            </w:r>
            <w:r>
              <w:rPr>
                <w:sz w:val="21"/>
              </w:rPr>
              <w:t>24V、12V或交流220V供电，电源要求为稳频稳压不间断电源或在设备前端放置稳压电源；</w:t>
            </w:r>
          </w:p>
          <w:p>
            <w:pPr>
              <w:ind w:firstLine="420"/>
              <w:jc w:val="left"/>
            </w:pPr>
            <w:r>
              <w:rPr>
                <w:sz w:val="21"/>
              </w:rPr>
              <w:t>1、稳态电压偏移不大于+2%；</w:t>
            </w:r>
          </w:p>
          <w:p>
            <w:pPr>
              <w:ind w:firstLine="420"/>
              <w:jc w:val="left"/>
            </w:pPr>
            <w:r>
              <w:rPr>
                <w:sz w:val="21"/>
              </w:rPr>
              <w:t>2、稳态频率不大于+0.2HZ；</w:t>
            </w:r>
          </w:p>
          <w:p>
            <w:pPr>
              <w:ind w:firstLine="420"/>
              <w:jc w:val="left"/>
            </w:pPr>
            <w:r>
              <w:rPr>
                <w:sz w:val="21"/>
              </w:rPr>
              <w:t>3、电压波形畸变率不大于5%；</w:t>
            </w:r>
          </w:p>
          <w:p>
            <w:pPr>
              <w:ind w:firstLine="420"/>
              <w:jc w:val="left"/>
            </w:pPr>
            <w:r>
              <w:rPr>
                <w:sz w:val="21"/>
              </w:rPr>
              <w:t>4、电源应具有防雷、防漏电措施，具安全接地。</w:t>
            </w:r>
          </w:p>
          <w:p>
            <w:pPr>
              <w:ind w:firstLine="420"/>
              <w:jc w:val="left"/>
            </w:pPr>
            <w:r>
              <w:rPr>
                <w:sz w:val="21"/>
              </w:rPr>
              <w:t>线缆选择应优先选择满足衰减、屏蔽、弯曲、抗干扰、强度、防潮湿等等方面性能线缆；可根据布设的环境和方式（如套管直埋、管道地沟、室内）选择不同的性能电缆；</w:t>
            </w:r>
          </w:p>
          <w:p>
            <w:pPr>
              <w:ind w:firstLine="420"/>
              <w:jc w:val="left"/>
            </w:pPr>
            <w:r>
              <w:rPr>
                <w:sz w:val="21"/>
              </w:rPr>
              <w:t>供电电缆应该满足以下特性</w:t>
            </w:r>
          </w:p>
          <w:p>
            <w:pPr>
              <w:ind w:firstLine="420"/>
              <w:jc w:val="left"/>
            </w:pPr>
            <w:r>
              <w:rPr>
                <w:sz w:val="21"/>
              </w:rPr>
              <w:t>1、物理机械特性：</w:t>
            </w:r>
          </w:p>
          <w:p>
            <w:pPr>
              <w:ind w:firstLine="420"/>
              <w:jc w:val="left"/>
            </w:pPr>
            <w:r>
              <w:rPr>
                <w:sz w:val="21"/>
              </w:rPr>
              <w:t>基本结构：导体为高纯度无氧铜导，符合</w:t>
            </w:r>
            <w:r>
              <w:rPr>
                <w:sz w:val="21"/>
              </w:rPr>
              <w:t>GB/T3956-2008要求，绝缘为优质环保PVC绝缘料,护套为优质环保PVC护套料</w:t>
            </w:r>
          </w:p>
          <w:p>
            <w:pPr>
              <w:ind w:firstLine="420"/>
              <w:jc w:val="left"/>
            </w:pPr>
            <w:r>
              <w:rPr>
                <w:sz w:val="21"/>
              </w:rPr>
              <w:t>额定温度：</w:t>
            </w:r>
            <w:r>
              <w:rPr>
                <w:sz w:val="21"/>
              </w:rPr>
              <w:t>70℃</w:t>
            </w:r>
          </w:p>
          <w:p>
            <w:pPr>
              <w:ind w:firstLine="420"/>
              <w:jc w:val="left"/>
            </w:pPr>
            <w:r>
              <w:rPr>
                <w:sz w:val="21"/>
              </w:rPr>
              <w:t>额定电压：</w:t>
            </w:r>
            <w:r>
              <w:rPr>
                <w:sz w:val="21"/>
              </w:rPr>
              <w:t>U0/U为300/500V</w:t>
            </w:r>
          </w:p>
          <w:p>
            <w:pPr>
              <w:ind w:firstLine="420"/>
              <w:jc w:val="left"/>
            </w:pPr>
            <w:r>
              <w:rPr>
                <w:sz w:val="21"/>
              </w:rPr>
              <w:t>执行标准：</w:t>
            </w:r>
            <w:r>
              <w:rPr>
                <w:sz w:val="21"/>
              </w:rPr>
              <w:t>GB/T5023—2008</w:t>
            </w:r>
          </w:p>
          <w:p>
            <w:pPr>
              <w:ind w:firstLine="420"/>
              <w:jc w:val="left"/>
            </w:pPr>
            <w:r>
              <w:rPr>
                <w:sz w:val="21"/>
              </w:rPr>
              <w:t>2、使用环境：</w:t>
            </w:r>
          </w:p>
          <w:p>
            <w:pPr>
              <w:ind w:firstLine="420"/>
              <w:jc w:val="left"/>
            </w:pPr>
            <w:r>
              <w:rPr>
                <w:sz w:val="21"/>
              </w:rPr>
              <w:t>电缆长期允许工作温度应不超过</w:t>
            </w:r>
            <w:r>
              <w:rPr>
                <w:sz w:val="21"/>
              </w:rPr>
              <w:t>70℃</w:t>
            </w:r>
          </w:p>
          <w:p>
            <w:pPr>
              <w:ind w:firstLine="420"/>
              <w:jc w:val="left"/>
            </w:pPr>
            <w:r>
              <w:rPr>
                <w:sz w:val="21"/>
              </w:rPr>
              <w:t>电缆敷设温度应不低于</w:t>
            </w:r>
            <w:r>
              <w:rPr>
                <w:sz w:val="21"/>
              </w:rPr>
              <w:t>0℃</w:t>
            </w:r>
          </w:p>
          <w:p>
            <w:pPr>
              <w:ind w:firstLine="420"/>
              <w:jc w:val="left"/>
            </w:pPr>
            <w:r>
              <w:rPr>
                <w:sz w:val="21"/>
              </w:rPr>
              <w:t>护套采用优质聚氯乙烯材质，抗老化，耐磨损，防水，防油，防化学腐蚀，无毒等特性。</w:t>
            </w:r>
          </w:p>
          <w:p>
            <w:pPr>
              <w:ind w:firstLine="422"/>
              <w:jc w:val="left"/>
            </w:pPr>
            <w:r>
              <w:rPr>
                <w:b/>
                <w:sz w:val="21"/>
              </w:rPr>
              <w:t>8.9监控点位联网方式要求</w:t>
            </w:r>
          </w:p>
          <w:p>
            <w:pPr>
              <w:ind w:firstLine="420"/>
              <w:jc w:val="left"/>
            </w:pPr>
            <w:r>
              <w:rPr>
                <w:sz w:val="21"/>
              </w:rPr>
              <w:t>要求系统接入传输电路建设需采用光纤建设方式，前端监控点位采用点到点裸纤汇聚到视频云平台汇聚，再通过河源市公安局建设的视频边界上行至视频专网综合机房。本项目前端摄像机需采用高清摄像机，考虑一定的冗余，本期链路上行带宽要求每摄像机不小于</w:t>
            </w:r>
            <w:r>
              <w:rPr>
                <w:sz w:val="21"/>
              </w:rPr>
              <w:t>20Mbps。</w:t>
            </w:r>
          </w:p>
          <w:p>
            <w:pPr>
              <w:jc w:val="left"/>
            </w:pPr>
            <w:r>
              <w:rPr>
                <w:b/>
                <w:sz w:val="21"/>
              </w:rPr>
              <w:t>8.9.1</w:t>
            </w:r>
            <w:r>
              <w:rPr>
                <w:b/>
                <w:sz w:val="21"/>
              </w:rPr>
              <w:t>网络设备要求</w:t>
            </w:r>
          </w:p>
          <w:p>
            <w:r>
              <w:rPr>
                <w:sz w:val="21"/>
              </w:rPr>
              <w:t>1）抗震性能检测要求</w:t>
            </w:r>
          </w:p>
          <w:p>
            <w:r>
              <w:rPr>
                <w:sz w:val="21"/>
              </w:rPr>
              <w:t>工程设计中采用的设备必须是经过质量监督检验机构进行抗震性能检测合格的产品，未获得工信部颁发的通信设备抗震性能合格证的不得在工程中使用。</w:t>
            </w:r>
          </w:p>
          <w:p>
            <w:r>
              <w:rPr>
                <w:sz w:val="21"/>
              </w:rPr>
              <w:t>2）通信设备入网要求</w:t>
            </w:r>
          </w:p>
          <w:p>
            <w:r>
              <w:rPr>
                <w:sz w:val="21"/>
              </w:rPr>
              <w:t>工程设计中采用的设备应取得信息产业部电信设备入网许可证，未取得信息产业部颁布的电信设备入网许可证的设备不得在工程中使用。关键设备应采用国产具有自主知识产权设备。</w:t>
            </w:r>
          </w:p>
          <w:p>
            <w:r>
              <w:rPr>
                <w:sz w:val="21"/>
              </w:rPr>
              <w:t>3）网络设备安全接入要求</w:t>
            </w:r>
          </w:p>
          <w:p>
            <w:pPr>
              <w:ind w:firstLine="482"/>
              <w:jc w:val="left"/>
            </w:pPr>
            <w:r>
              <w:rPr>
                <w:sz w:val="21"/>
              </w:rPr>
              <w:t>视频监控业务广泛存在的开放端口，如前端高清摄像机、运营商机房部署的交换机和路由器等，这些普遍存在的大量的网络端口（基于</w:t>
            </w:r>
            <w:r>
              <w:rPr>
                <w:sz w:val="21"/>
              </w:rPr>
              <w:t>TCP/IP协议的开放性端口）将产生严重的安全风险。在网络管理中，IP地址盗用现象经常发生，不仅对网络的正常使用造成影响，同时由于被盗用的地址往往具有较高的权限，因而也造成了大量的经济上的损失和潜在的安全隐患。为了防止IP地址被盗用，可以在分配IP地址时，把IP地址与网卡地址进行捆绑。</w:t>
            </w:r>
          </w:p>
          <w:p>
            <w:pPr>
              <w:ind w:firstLine="482"/>
              <w:jc w:val="left"/>
            </w:pPr>
            <w:r>
              <w:rPr>
                <w:sz w:val="21"/>
              </w:rPr>
              <w:t>对于动态分配</w:t>
            </w:r>
            <w:r>
              <w:rPr>
                <w:sz w:val="21"/>
              </w:rPr>
              <w:t>IP，做一个DHCP服务器来绑定设备网卡MAC地址和IP地址，然后再根据不同IP设定权限。</w:t>
            </w:r>
          </w:p>
          <w:p>
            <w:r>
              <w:rPr>
                <w:sz w:val="21"/>
              </w:rPr>
              <w:t>本项目的交换机设备负责汇集</w:t>
            </w:r>
            <w:r>
              <w:rPr>
                <w:sz w:val="21"/>
              </w:rPr>
              <w:t>IPC及其他数据接入点进行数据交换。需满足以下安全需求：IP地址与</w:t>
            </w:r>
            <w:r>
              <w:rPr>
                <w:sz w:val="21"/>
              </w:rPr>
              <w:t>MAC地址</w:t>
            </w:r>
            <w:r>
              <w:rPr>
                <w:sz w:val="21"/>
              </w:rPr>
              <w:t>、端口绑定，能够准确定位用户，包括端口或</w:t>
            </w:r>
            <w:r>
              <w:rPr>
                <w:sz w:val="21"/>
              </w:rPr>
              <w:t>MAC地址。对于静态IP，可以在每个端口上做设备网卡MAC地址和固定IP地址的一一限定。如果有人改了自己的IP地址或者更换了设备（MAC地址改变），那么他就无法通过盗用端口进入网络。</w:t>
            </w:r>
          </w:p>
          <w:p>
            <w:pPr>
              <w:jc w:val="left"/>
            </w:pPr>
            <w:r>
              <w:rPr>
                <w:b/>
                <w:sz w:val="21"/>
              </w:rPr>
              <w:t>8.9.2视频网络传输带宽要求</w:t>
            </w:r>
          </w:p>
          <w:p>
            <w:pPr>
              <w:ind w:firstLine="480"/>
            </w:pPr>
            <w:r>
              <w:rPr>
                <w:sz w:val="21"/>
              </w:rPr>
              <w:t>1路400万像素高清视频信号所需要的码流带宽约为4Mbps，为确保图像质量，要求传输网络采用全光网建设前端传输网络，前端传输设备下行端口为百兆电口。</w:t>
            </w:r>
          </w:p>
          <w:p>
            <w:pPr>
              <w:ind w:firstLine="480"/>
            </w:pPr>
            <w:r>
              <w:rPr>
                <w:sz w:val="21"/>
              </w:rPr>
              <w:t>根据网络部署的原则，高清社会治安监控系统对视频信号进行实时监视和录像存储时占用网络带宽。因此，必须按照实时监控和录像存储两种状态进行设定，带宽应能满足上、下行带宽均不小于</w:t>
            </w:r>
            <w:r>
              <w:rPr>
                <w:sz w:val="21"/>
              </w:rPr>
              <w:t>20Mbps。</w:t>
            </w:r>
          </w:p>
          <w:p>
            <w:pPr>
              <w:jc w:val="left"/>
            </w:pPr>
            <w:r>
              <w:rPr>
                <w:b/>
                <w:sz w:val="21"/>
              </w:rPr>
              <w:t>8.10视频云+应用平台和家园全结构化特征识别算法授权</w:t>
            </w:r>
            <w:r>
              <w:rPr>
                <w:b/>
                <w:sz w:val="21"/>
              </w:rPr>
              <w:t>服务</w:t>
            </w:r>
          </w:p>
          <w:p>
            <w:pPr>
              <w:ind w:firstLine="480"/>
            </w:pPr>
            <w:r>
              <w:rPr>
                <w:sz w:val="21"/>
              </w:rPr>
              <w:t>在河源市公安局已在视频专网统一部署智能视觉中心，负责将推送至公安局视频专网中抓拍的人脸、车辆、人体、非机动车图片进行全结构化解析，并将解析产生的图片及数据通过综合网关平台摆渡至市公安局公安信息网中的智能视觉中心进行统一运营。</w:t>
            </w:r>
          </w:p>
          <w:p>
            <w:pPr>
              <w:ind w:firstLine="480"/>
            </w:pPr>
            <w:r>
              <w:rPr>
                <w:sz w:val="21"/>
              </w:rPr>
              <w:t>本项目需购置和家园全结构化特征识别算法授权服务，以实现新建</w:t>
            </w:r>
            <w:r>
              <w:rPr>
                <w:sz w:val="21"/>
              </w:rPr>
              <w:t>735路全结构化视频监控摄像机抓拍的图片在视频专网进行人脸、车辆、人体、非机动车全结构化解析，并通过原有综合网管平台摆渡至公安局公安信息网中的智能视觉中心进行统一运营。</w:t>
            </w:r>
          </w:p>
          <w:p>
            <w:pPr>
              <w:jc w:val="left"/>
            </w:pPr>
            <w:r>
              <w:rPr>
                <w:b/>
                <w:sz w:val="21"/>
              </w:rPr>
              <w:t>8.11视频云存储要求</w:t>
            </w:r>
          </w:p>
          <w:p>
            <w:pPr>
              <w:jc w:val="left"/>
            </w:pPr>
            <w:r>
              <w:rPr>
                <w:b/>
                <w:sz w:val="21"/>
              </w:rPr>
              <w:t>8.11.1视频云存储容量需求</w:t>
            </w:r>
          </w:p>
          <w:p>
            <w:pPr>
              <w:ind w:firstLine="480"/>
            </w:pPr>
            <w:r>
              <w:rPr>
                <w:sz w:val="21"/>
              </w:rPr>
              <w:t>400万像素高清摄像机录像码流为4Mb，录像用于实时存储和事后分析取证，数据保留不少于30天，存储需求按10%比例冗余设计</w:t>
            </w:r>
          </w:p>
          <w:p>
            <w:pPr>
              <w:ind w:firstLine="480"/>
            </w:pPr>
            <w:r>
              <w:rPr>
                <w:sz w:val="21"/>
              </w:rPr>
              <w:t>视频存储容量</w:t>
            </w:r>
            <w:r>
              <w:rPr>
                <w:sz w:val="21"/>
              </w:rPr>
              <w:t>=视频监控路数*视频码流大小*存储周期*冗余系数</w:t>
            </w:r>
          </w:p>
          <w:p>
            <w:pPr>
              <w:ind w:firstLine="480"/>
            </w:pPr>
            <w:r>
              <w:rPr>
                <w:sz w:val="21"/>
              </w:rPr>
              <w:t>=735路*4Mb*3600s*24h*30天*1.1冗余/8/1024/1024=999.1TB。</w:t>
            </w:r>
          </w:p>
          <w:p>
            <w:pPr>
              <w:ind w:firstLine="480"/>
            </w:pPr>
            <w:r>
              <w:rPr>
                <w:sz w:val="21"/>
              </w:rPr>
              <w:t>因此本项目中标人需提供专用于本项目的视频云裸空间需</w:t>
            </w:r>
            <w:r>
              <w:rPr>
                <w:sz w:val="21"/>
              </w:rPr>
              <w:t>≥1000TB。</w:t>
            </w:r>
          </w:p>
          <w:p>
            <w:pPr>
              <w:jc w:val="left"/>
            </w:pPr>
            <w:r>
              <w:rPr>
                <w:b/>
                <w:sz w:val="21"/>
              </w:rPr>
              <w:t>8.11.2视频存储技术要求</w:t>
            </w:r>
          </w:p>
          <w:p>
            <w:pPr>
              <w:ind w:firstLine="480"/>
            </w:pPr>
            <w:r>
              <w:rPr>
                <w:sz w:val="21"/>
              </w:rPr>
              <w:t>云存储系统建设应遵循采用标准开放的分布式云存储系统，应采用标准开放存储接口协议（如</w:t>
            </w:r>
            <w:r>
              <w:rPr>
                <w:sz w:val="21"/>
              </w:rPr>
              <w:t>Posix,iSCSI,CIFS/NFS,API等）或嵌入具有国标协议流媒体服务软件，以虚拟化或嵌入式技术与视频监控平台行充分对接。需与河源公安局云管理平台对接,要求云存储系统应提供相关对外接口及文档，包括并不限于：存储资源管理，存储软件的健康检查，存储容量信息，存储性能信息，存储设备硬件相关组件检查等等，具体根据项目整体要求提供，接口调用方式应满足CLI，CLIENT-CLI，SMI-S，SNMP等业界标准。</w:t>
            </w:r>
          </w:p>
          <w:p>
            <w:pPr>
              <w:ind w:firstLine="480"/>
            </w:pPr>
            <w:r>
              <w:rPr>
                <w:sz w:val="21"/>
              </w:rPr>
              <w:t>云存储系统应具有数据冗余，负载均衡，数据归档，数据自动迁移，远程容灾，数据销毁等重要能力。</w:t>
            </w:r>
          </w:p>
          <w:p>
            <w:pPr>
              <w:jc w:val="left"/>
            </w:pPr>
            <w:r>
              <w:rPr>
                <w:b/>
                <w:sz w:val="21"/>
              </w:rPr>
              <w:t>1）数据恢复要求</w:t>
            </w:r>
          </w:p>
          <w:p>
            <w:pPr>
              <w:ind w:firstLine="420"/>
              <w:jc w:val="both"/>
            </w:pPr>
            <w:r>
              <w:rPr>
                <w:sz w:val="21"/>
              </w:rPr>
              <w:t>云存储系统需内置智能故障探测机制，可自动探测并处理存储异常，即使出现宕机、网络中断、磁盘损坏等情况，仍然能够保障数据完整性和数据服务的持续运行，数据恢复速度快，例如：</w:t>
            </w:r>
            <w:r>
              <w:rPr>
                <w:sz w:val="21"/>
              </w:rPr>
              <w:t>1TB磁盘的数据量，需在30分钟内恢复完成。</w:t>
            </w:r>
          </w:p>
          <w:p>
            <w:pPr>
              <w:jc w:val="left"/>
            </w:pPr>
            <w:r>
              <w:rPr>
                <w:b/>
                <w:sz w:val="21"/>
              </w:rPr>
              <w:t>2）系统架构要求</w:t>
            </w:r>
          </w:p>
          <w:p>
            <w:pPr>
              <w:ind w:firstLine="420"/>
              <w:jc w:val="both"/>
            </w:pPr>
            <w:r>
              <w:rPr>
                <w:sz w:val="21"/>
              </w:rPr>
              <w:t>视频云存储建议采用智能集群存储架构，具备节点级的容错机制，可以在单机内所有硬盘随机损坏或者单个存储服务器宕机以及单网络损坏和单元数据损坏的情况下继续对外提供存储服务，且对线上应用不存在任何影响。</w:t>
            </w:r>
          </w:p>
          <w:p>
            <w:pPr>
              <w:ind w:firstLine="420"/>
              <w:jc w:val="both"/>
            </w:pPr>
            <w:r>
              <w:rPr>
                <w:sz w:val="21"/>
              </w:rPr>
              <w:t>在任何故障情况下，存储系统包括智能存储服务器在内，都可以进行不停机的在线维护与更换，更换硬件的过程中完全不影响前端用户的使用于业务的正常运行。</w:t>
            </w:r>
          </w:p>
          <w:p>
            <w:pPr>
              <w:jc w:val="left"/>
            </w:pPr>
            <w:r>
              <w:rPr>
                <w:b/>
                <w:sz w:val="21"/>
              </w:rPr>
              <w:t>3）</w:t>
            </w:r>
            <w:r>
              <w:rPr>
                <w:b/>
                <w:sz w:val="21"/>
              </w:rPr>
              <w:t>性能要求</w:t>
            </w:r>
          </w:p>
          <w:p>
            <w:pPr>
              <w:ind w:firstLine="420"/>
              <w:jc w:val="both"/>
            </w:pPr>
            <w:r>
              <w:rPr>
                <w:sz w:val="21"/>
              </w:rPr>
              <w:t>云存储系统需消除</w:t>
            </w:r>
            <w:r>
              <w:rPr>
                <w:sz w:val="21"/>
              </w:rPr>
              <w:t>I/O节点瓶颈，通过虚拟化技术将系统内的所有存储服务器的硬件设备，如硬盘、网络、CPU、内存聚合在一起，使存储空间和对外共享成为一个整体，构成了适合计算集群应用的高I/O集群存储，在存放海量镜像时可保证海量镜像同时启动时所需性能需求；</w:t>
            </w:r>
          </w:p>
          <w:p>
            <w:pPr>
              <w:ind w:firstLine="420"/>
              <w:jc w:val="both"/>
            </w:pPr>
            <w:r>
              <w:rPr>
                <w:sz w:val="21"/>
              </w:rPr>
              <w:t>存储系统的持续性能均满足所有计算节点同时访问的性能要求，读写性能多个计算节点的并发访问要求，多个计算节点同时访问同一个文件也不会产生性能的瓶颈。</w:t>
            </w:r>
          </w:p>
          <w:p>
            <w:pPr>
              <w:jc w:val="both"/>
            </w:pPr>
            <w:r>
              <w:rPr>
                <w:b/>
                <w:sz w:val="21"/>
              </w:rPr>
              <w:t>（九）运维考核</w:t>
            </w:r>
          </w:p>
          <w:p>
            <w:pPr>
              <w:jc w:val="center"/>
            </w:pPr>
            <w:r>
              <w:rPr>
                <w:b/>
                <w:sz w:val="24"/>
              </w:rPr>
              <w:t>紫金县平安乡村智慧视频建设项目运维考核方案</w:t>
            </w:r>
          </w:p>
          <w:p>
            <w:pPr>
              <w:ind w:firstLine="422"/>
              <w:jc w:val="both"/>
            </w:pPr>
            <w:r>
              <w:rPr>
                <w:b/>
                <w:sz w:val="21"/>
              </w:rPr>
              <w:t>1、考核目的</w:t>
            </w:r>
          </w:p>
          <w:p>
            <w:pPr>
              <w:ind w:firstLine="420"/>
              <w:jc w:val="both"/>
            </w:pPr>
            <w:r>
              <w:rPr>
                <w:sz w:val="21"/>
              </w:rPr>
              <w:t>为了提高</w:t>
            </w:r>
            <w:r>
              <w:rPr>
                <w:sz w:val="21"/>
              </w:rPr>
              <w:t>“紫金县平安乡村智慧视频建设项目”视频监控系统前端摄像头在线率，更好的服务公安机关社会治安综合治理，提高打、防、管、控能力和水平。根据平安紫金项目建设的视频监控平台建立了运维管理模块，可实时监测全县视频监控一类点的视频图像质量情况，为考核评估河源市紫金县视频监控系统的运行成效提供了强有力的依据。每月对系统运维管理服务质量进行考核评估，考核评估结果与每月费用相挂钩，为公安管理维护监控点提供便利而有效的管理方式，提高运维服务商的运维服务质量。</w:t>
            </w:r>
          </w:p>
          <w:p>
            <w:pPr>
              <w:ind w:firstLine="422"/>
              <w:jc w:val="both"/>
            </w:pPr>
            <w:r>
              <w:rPr>
                <w:b/>
                <w:sz w:val="21"/>
              </w:rPr>
              <w:t>2、考核内容</w:t>
            </w:r>
          </w:p>
          <w:p>
            <w:pPr>
              <w:ind w:firstLine="420"/>
              <w:jc w:val="both"/>
            </w:pPr>
            <w:r>
              <w:rPr>
                <w:sz w:val="21"/>
              </w:rPr>
              <w:t>2.1考核内容</w:t>
            </w:r>
          </w:p>
          <w:p>
            <w:pPr>
              <w:ind w:firstLine="420"/>
              <w:jc w:val="both"/>
            </w:pPr>
            <w:r>
              <w:rPr>
                <w:sz w:val="21"/>
              </w:rPr>
              <w:t>1）视频监控系统前端摄像头的在线率考核；</w:t>
            </w:r>
          </w:p>
          <w:p>
            <w:pPr>
              <w:ind w:firstLine="420"/>
              <w:jc w:val="both"/>
            </w:pPr>
            <w:r>
              <w:rPr>
                <w:sz w:val="21"/>
              </w:rPr>
              <w:t>2）视频监控系统前端摄像头故障总时长考核。</w:t>
            </w:r>
          </w:p>
          <w:p>
            <w:pPr>
              <w:ind w:firstLine="420"/>
              <w:jc w:val="both"/>
            </w:pPr>
            <w:r>
              <w:rPr>
                <w:sz w:val="21"/>
              </w:rPr>
              <w:t>2.2名词解释</w:t>
            </w:r>
          </w:p>
          <w:p>
            <w:pPr>
              <w:ind w:firstLine="420"/>
              <w:jc w:val="both"/>
            </w:pPr>
            <w:r>
              <w:rPr>
                <w:sz w:val="21"/>
              </w:rPr>
              <w:t>视频故障：摄像头发生视频丢失、无法浏览实时图像、无法调用视频录像资料等情况，则视为视频故障。</w:t>
            </w:r>
          </w:p>
          <w:p>
            <w:pPr>
              <w:ind w:firstLine="420"/>
              <w:jc w:val="both"/>
            </w:pPr>
            <w:r>
              <w:rPr>
                <w:sz w:val="21"/>
              </w:rPr>
              <w:t>在线率：视频监控系统在某一时间点未出视频故障的视频监控点数与视频监控点总数的比。</w:t>
            </w:r>
          </w:p>
          <w:p>
            <w:pPr>
              <w:ind w:firstLine="420"/>
              <w:jc w:val="both"/>
            </w:pPr>
            <w:r>
              <w:rPr>
                <w:sz w:val="21"/>
              </w:rPr>
              <w:t>故障总时长：每个月内所有视频监控点发生视频故障的累积时间。</w:t>
            </w:r>
          </w:p>
          <w:p>
            <w:pPr>
              <w:ind w:firstLine="422"/>
              <w:jc w:val="both"/>
            </w:pPr>
            <w:r>
              <w:rPr>
                <w:b/>
                <w:sz w:val="21"/>
              </w:rPr>
              <w:t>3、考核方式</w:t>
            </w:r>
          </w:p>
          <w:p>
            <w:pPr>
              <w:ind w:firstLine="420"/>
              <w:jc w:val="both"/>
            </w:pPr>
            <w:r>
              <w:rPr>
                <w:sz w:val="21"/>
              </w:rPr>
              <w:t>“平安紫金”视频监控平台运维管理模块按月自动进行在线率及故障总时长统计。</w:t>
            </w:r>
          </w:p>
          <w:p>
            <w:pPr>
              <w:ind w:firstLine="420"/>
              <w:jc w:val="both"/>
            </w:pPr>
            <w:r>
              <w:rPr>
                <w:sz w:val="21"/>
              </w:rPr>
              <w:t>平台运维管理模块每天（</w:t>
            </w:r>
            <w:r>
              <w:rPr>
                <w:sz w:val="21"/>
              </w:rPr>
              <w:t>7：00-18：00）每隔1小时对前端视频监控点的图像质量进行1次轮训检测，自动检测前端监控点的在线情况，并统计出系统的实时在线率。每月根据每小时统计的在线率取平均值，作为本月的监控系统的平均在线率。同时平台每天（7：00-18：00）对发生视频故障的监控点进行故障时间累积计算，每月统计出监控点的视频故障总时长。并根据以下公式计算每月付费标准。</w:t>
            </w:r>
          </w:p>
          <w:p>
            <w:pPr>
              <w:ind w:firstLine="420"/>
              <w:jc w:val="both"/>
            </w:pPr>
            <w:r>
              <w:rPr>
                <w:sz w:val="21"/>
              </w:rPr>
              <w:t>3.1、每月扣费金额=（故障总时长﹣允许的故障时间）×每小时扣费单价；</w:t>
            </w:r>
          </w:p>
          <w:p>
            <w:pPr>
              <w:ind w:firstLine="420"/>
              <w:jc w:val="both"/>
            </w:pPr>
            <w:r>
              <w:rPr>
                <w:sz w:val="21"/>
              </w:rPr>
              <w:t>（故障总时长﹣允许的故障时间）</w:t>
            </w:r>
            <w:r>
              <w:rPr>
                <w:sz w:val="21"/>
              </w:rPr>
              <w:t>≤0时，取值为0；</w:t>
            </w:r>
          </w:p>
          <w:p>
            <w:pPr>
              <w:ind w:firstLine="420"/>
              <w:jc w:val="both"/>
            </w:pPr>
            <w:r>
              <w:rPr>
                <w:sz w:val="21"/>
              </w:rPr>
              <w:t>允许的故障时间</w:t>
            </w:r>
            <w:r>
              <w:rPr>
                <w:sz w:val="21"/>
              </w:rPr>
              <w:t>=摄像头数量×当月天数×24小时×2%，</w:t>
            </w:r>
          </w:p>
          <w:p>
            <w:pPr>
              <w:ind w:firstLine="420"/>
              <w:jc w:val="both"/>
            </w:pPr>
            <w:r>
              <w:rPr>
                <w:sz w:val="21"/>
              </w:rPr>
              <w:t>每小时扣费单价</w:t>
            </w:r>
            <w:r>
              <w:rPr>
                <w:sz w:val="21"/>
              </w:rPr>
              <w:t>=每小时使用费用×对应的扣费系数；</w:t>
            </w:r>
          </w:p>
          <w:p>
            <w:pPr>
              <w:ind w:firstLine="420"/>
              <w:jc w:val="both"/>
            </w:pPr>
            <w:r>
              <w:rPr>
                <w:sz w:val="21"/>
              </w:rPr>
              <w:t>每小时使用费用</w:t>
            </w:r>
            <w:r>
              <w:rPr>
                <w:sz w:val="21"/>
              </w:rPr>
              <w:t>=前端视频监控系统项目中单个监控点月使用费÷（当月天数×24小时）；</w:t>
            </w:r>
          </w:p>
          <w:p>
            <w:pPr>
              <w:ind w:firstLine="420"/>
              <w:jc w:val="both"/>
            </w:pPr>
            <w:r>
              <w:rPr>
                <w:sz w:val="21"/>
              </w:rPr>
              <w:t>平均在线率（</w:t>
            </w:r>
            <w:r>
              <w:rPr>
                <w:sz w:val="21"/>
              </w:rPr>
              <w:t>X）=每月根据每小时统计的在线率取平均值。</w:t>
            </w:r>
          </w:p>
          <w:p>
            <w:pPr>
              <w:ind w:firstLine="420"/>
              <w:jc w:val="both"/>
            </w:pPr>
            <w:r>
              <w:rPr>
                <w:sz w:val="21"/>
              </w:rPr>
              <w:t>本月监控系统的平均在线率（</w:t>
            </w:r>
            <w:r>
              <w:rPr>
                <w:sz w:val="21"/>
              </w:rPr>
              <w:t>X）与对应的扣费系数对应表如下：</w:t>
            </w:r>
          </w:p>
          <w:tbl>
            <w:tblPr>
              <w:tblBorders>
                <w:top w:val="none" w:color="000000" w:sz="4"/>
                <w:left w:val="none" w:color="000000" w:sz="4"/>
                <w:bottom w:val="none" w:color="000000" w:sz="4"/>
                <w:right w:val="none" w:color="000000" w:sz="4"/>
                <w:insideH w:val="none"/>
                <w:insideV w:val="none"/>
              </w:tblBorders>
            </w:tblPr>
            <w:tblGrid>
              <w:gridCol w:w="1905"/>
              <w:gridCol w:w="2250"/>
            </w:tblGrid>
            <w:tr>
              <w:tc>
                <w:tcPr>
                  <w:tcW w:type="dxa" w:w="1905"/>
                  <w:tcBorders>
                    <w:top w:val="single" w:color="000000" w:sz="4"/>
                    <w:left w:val="single" w:color="000000" w:sz="4"/>
                    <w:bottom w:val="single" w:color="000000" w:sz="4"/>
                    <w:right w:val="single" w:color="000000" w:sz="4"/>
                  </w:tcBorders>
                  <w:vAlign w:val="top"/>
                </w:tcPr>
                <w:p>
                  <w:pPr>
                    <w:ind w:firstLine="420"/>
                    <w:jc w:val="both"/>
                  </w:pPr>
                  <w:r>
                    <w:rPr>
                      <w:sz w:val="21"/>
                    </w:rPr>
                    <w:t>平均在线率（</w:t>
                  </w:r>
                  <w:r>
                    <w:rPr>
                      <w:sz w:val="21"/>
                    </w:rPr>
                    <w:t>X）</w:t>
                  </w:r>
                </w:p>
              </w:tc>
              <w:tc>
                <w:tcPr>
                  <w:tcW w:type="dxa" w:w="2250"/>
                  <w:tcBorders>
                    <w:top w:val="single" w:color="000000" w:sz="4"/>
                    <w:left w:val="none" w:color="000000" w:sz="4"/>
                    <w:bottom w:val="single" w:color="000000" w:sz="4"/>
                    <w:right w:val="single" w:color="000000" w:sz="4"/>
                  </w:tcBorders>
                  <w:vAlign w:val="top"/>
                </w:tcPr>
                <w:p>
                  <w:pPr>
                    <w:ind w:firstLine="420"/>
                    <w:jc w:val="both"/>
                  </w:pPr>
                  <w:r>
                    <w:rPr>
                      <w:sz w:val="21"/>
                    </w:rPr>
                    <w:t>扣费系数</w:t>
                  </w:r>
                </w:p>
              </w:tc>
            </w:tr>
            <w:tr>
              <w:tc>
                <w:tcPr>
                  <w:tcW w:type="dxa" w:w="1905"/>
                  <w:tcBorders>
                    <w:top w:val="none" w:color="000000" w:sz="4"/>
                    <w:left w:val="single" w:color="000000" w:sz="4"/>
                    <w:bottom w:val="single" w:color="000000" w:sz="4"/>
                    <w:right w:val="single" w:color="000000" w:sz="4"/>
                  </w:tcBorders>
                  <w:vAlign w:val="top"/>
                </w:tcPr>
                <w:p>
                  <w:pPr>
                    <w:ind w:firstLine="420"/>
                    <w:jc w:val="both"/>
                  </w:pPr>
                  <w:r>
                    <w:rPr>
                      <w:sz w:val="21"/>
                    </w:rPr>
                    <w:t>X&gt;=98%</w:t>
                  </w:r>
                </w:p>
              </w:tc>
              <w:tc>
                <w:tcPr>
                  <w:tcW w:type="dxa" w:w="2250"/>
                  <w:tcBorders>
                    <w:top w:val="none" w:color="000000" w:sz="4"/>
                    <w:left w:val="none" w:color="000000" w:sz="4"/>
                    <w:bottom w:val="single" w:color="000000" w:sz="4"/>
                    <w:right w:val="single" w:color="000000" w:sz="4"/>
                  </w:tcBorders>
                  <w:vAlign w:val="top"/>
                </w:tcPr>
                <w:p>
                  <w:pPr>
                    <w:ind w:firstLine="420"/>
                    <w:jc w:val="both"/>
                  </w:pPr>
                  <w:r>
                    <w:rPr>
                      <w:sz w:val="21"/>
                    </w:rPr>
                    <w:t>0</w:t>
                  </w:r>
                </w:p>
              </w:tc>
            </w:tr>
            <w:tr>
              <w:tc>
                <w:tcPr>
                  <w:tcW w:type="dxa" w:w="1905"/>
                  <w:tcBorders>
                    <w:top w:val="none" w:color="000000" w:sz="4"/>
                    <w:left w:val="single" w:color="000000" w:sz="4"/>
                    <w:bottom w:val="single" w:color="000000" w:sz="4"/>
                    <w:right w:val="single" w:color="000000" w:sz="4"/>
                  </w:tcBorders>
                  <w:vAlign w:val="bottom"/>
                </w:tcPr>
                <w:p>
                  <w:pPr>
                    <w:ind w:firstLine="420"/>
                    <w:jc w:val="both"/>
                  </w:pPr>
                  <w:r>
                    <w:rPr>
                      <w:sz w:val="21"/>
                    </w:rPr>
                    <w:t>95%&lt;=X&lt;98%</w:t>
                  </w:r>
                </w:p>
              </w:tc>
              <w:tc>
                <w:tcPr>
                  <w:tcW w:type="dxa" w:w="2250"/>
                  <w:tcBorders>
                    <w:top w:val="none" w:color="000000" w:sz="4"/>
                    <w:left w:val="none" w:color="000000" w:sz="4"/>
                    <w:bottom w:val="single" w:color="000000" w:sz="4"/>
                    <w:right w:val="single" w:color="000000" w:sz="4"/>
                  </w:tcBorders>
                  <w:vAlign w:val="bottom"/>
                </w:tcPr>
                <w:p>
                  <w:pPr>
                    <w:ind w:firstLine="420"/>
                    <w:jc w:val="both"/>
                  </w:pPr>
                  <w:r>
                    <w:rPr>
                      <w:sz w:val="21"/>
                    </w:rPr>
                    <w:t>1</w:t>
                  </w:r>
                </w:p>
              </w:tc>
            </w:tr>
            <w:tr>
              <w:tc>
                <w:tcPr>
                  <w:tcW w:type="dxa" w:w="1905"/>
                  <w:tcBorders>
                    <w:top w:val="none" w:color="000000" w:sz="4"/>
                    <w:left w:val="single" w:color="000000" w:sz="4"/>
                    <w:bottom w:val="single" w:color="000000" w:sz="4"/>
                    <w:right w:val="single" w:color="000000" w:sz="4"/>
                  </w:tcBorders>
                  <w:vAlign w:val="bottom"/>
                </w:tcPr>
                <w:p>
                  <w:pPr>
                    <w:ind w:firstLine="420"/>
                    <w:jc w:val="both"/>
                  </w:pPr>
                  <w:r>
                    <w:rPr>
                      <w:sz w:val="21"/>
                    </w:rPr>
                    <w:t>90%&lt;=X&lt;95%</w:t>
                  </w:r>
                </w:p>
              </w:tc>
              <w:tc>
                <w:tcPr>
                  <w:tcW w:type="dxa" w:w="2250"/>
                  <w:tcBorders>
                    <w:top w:val="none" w:color="000000" w:sz="4"/>
                    <w:left w:val="none" w:color="000000" w:sz="4"/>
                    <w:bottom w:val="single" w:color="000000" w:sz="4"/>
                    <w:right w:val="single" w:color="000000" w:sz="4"/>
                  </w:tcBorders>
                  <w:vAlign w:val="bottom"/>
                </w:tcPr>
                <w:p>
                  <w:pPr>
                    <w:ind w:firstLine="420"/>
                    <w:jc w:val="both"/>
                  </w:pPr>
                  <w:r>
                    <w:rPr>
                      <w:sz w:val="21"/>
                    </w:rPr>
                    <w:t>1.05</w:t>
                  </w:r>
                </w:p>
              </w:tc>
            </w:tr>
            <w:tr>
              <w:tc>
                <w:tcPr>
                  <w:tcW w:type="dxa" w:w="1905"/>
                  <w:tcBorders>
                    <w:top w:val="none" w:color="000000" w:sz="4"/>
                    <w:left w:val="single" w:color="000000" w:sz="4"/>
                    <w:bottom w:val="single" w:color="000000" w:sz="4"/>
                    <w:right w:val="single" w:color="000000" w:sz="4"/>
                  </w:tcBorders>
                  <w:vAlign w:val="bottom"/>
                </w:tcPr>
                <w:p>
                  <w:pPr>
                    <w:ind w:firstLine="420"/>
                    <w:jc w:val="both"/>
                  </w:pPr>
                  <w:r>
                    <w:rPr>
                      <w:sz w:val="21"/>
                    </w:rPr>
                    <w:t>85%&lt;=X&lt;90%</w:t>
                  </w:r>
                </w:p>
              </w:tc>
              <w:tc>
                <w:tcPr>
                  <w:tcW w:type="dxa" w:w="2250"/>
                  <w:tcBorders>
                    <w:top w:val="none" w:color="000000" w:sz="4"/>
                    <w:left w:val="none" w:color="000000" w:sz="4"/>
                    <w:bottom w:val="single" w:color="000000" w:sz="4"/>
                    <w:right w:val="single" w:color="000000" w:sz="4"/>
                  </w:tcBorders>
                  <w:vAlign w:val="bottom"/>
                </w:tcPr>
                <w:p>
                  <w:pPr>
                    <w:ind w:firstLine="420"/>
                    <w:jc w:val="both"/>
                  </w:pPr>
                  <w:r>
                    <w:rPr>
                      <w:sz w:val="21"/>
                    </w:rPr>
                    <w:t>1.1</w:t>
                  </w:r>
                </w:p>
              </w:tc>
            </w:tr>
            <w:tr>
              <w:tc>
                <w:tcPr>
                  <w:tcW w:type="dxa" w:w="1905"/>
                  <w:tcBorders>
                    <w:top w:val="none" w:color="000000" w:sz="4"/>
                    <w:left w:val="single" w:color="000000" w:sz="4"/>
                    <w:bottom w:val="single" w:color="000000" w:sz="4"/>
                    <w:right w:val="single" w:color="000000" w:sz="4"/>
                  </w:tcBorders>
                  <w:vAlign w:val="bottom"/>
                </w:tcPr>
                <w:p>
                  <w:pPr>
                    <w:ind w:firstLine="420"/>
                    <w:jc w:val="both"/>
                  </w:pPr>
                  <w:r>
                    <w:rPr>
                      <w:sz w:val="21"/>
                    </w:rPr>
                    <w:t>80%&lt;=X&lt;85%</w:t>
                  </w:r>
                </w:p>
              </w:tc>
              <w:tc>
                <w:tcPr>
                  <w:tcW w:type="dxa" w:w="2250"/>
                  <w:tcBorders>
                    <w:top w:val="none" w:color="000000" w:sz="4"/>
                    <w:left w:val="none" w:color="000000" w:sz="4"/>
                    <w:bottom w:val="single" w:color="000000" w:sz="4"/>
                    <w:right w:val="single" w:color="000000" w:sz="4"/>
                  </w:tcBorders>
                  <w:vAlign w:val="bottom"/>
                </w:tcPr>
                <w:p>
                  <w:pPr>
                    <w:ind w:firstLine="420"/>
                    <w:jc w:val="both"/>
                  </w:pPr>
                  <w:r>
                    <w:rPr>
                      <w:sz w:val="21"/>
                    </w:rPr>
                    <w:t>1.2</w:t>
                  </w:r>
                </w:p>
              </w:tc>
            </w:tr>
            <w:tr>
              <w:tc>
                <w:tcPr>
                  <w:tcW w:type="dxa" w:w="1905"/>
                  <w:tcBorders>
                    <w:top w:val="none" w:color="000000" w:sz="4"/>
                    <w:left w:val="single" w:color="000000" w:sz="4"/>
                    <w:bottom w:val="single" w:color="000000" w:sz="4"/>
                    <w:right w:val="single" w:color="000000" w:sz="4"/>
                  </w:tcBorders>
                  <w:vAlign w:val="bottom"/>
                </w:tcPr>
                <w:p>
                  <w:pPr>
                    <w:ind w:firstLine="420"/>
                    <w:jc w:val="both"/>
                  </w:pPr>
                  <w:r>
                    <w:rPr>
                      <w:sz w:val="21"/>
                    </w:rPr>
                    <w:t>75%&lt;=X&lt;80%</w:t>
                  </w:r>
                </w:p>
              </w:tc>
              <w:tc>
                <w:tcPr>
                  <w:tcW w:type="dxa" w:w="2250"/>
                  <w:tcBorders>
                    <w:top w:val="none" w:color="000000" w:sz="4"/>
                    <w:left w:val="none" w:color="000000" w:sz="4"/>
                    <w:bottom w:val="single" w:color="000000" w:sz="4"/>
                    <w:right w:val="single" w:color="000000" w:sz="4"/>
                  </w:tcBorders>
                  <w:vAlign w:val="bottom"/>
                </w:tcPr>
                <w:p>
                  <w:pPr>
                    <w:ind w:firstLine="420"/>
                    <w:jc w:val="both"/>
                  </w:pPr>
                  <w:r>
                    <w:rPr>
                      <w:sz w:val="21"/>
                    </w:rPr>
                    <w:t>1.3</w:t>
                  </w:r>
                </w:p>
              </w:tc>
            </w:tr>
            <w:tr>
              <w:tc>
                <w:tcPr>
                  <w:tcW w:type="dxa" w:w="1905"/>
                  <w:tcBorders>
                    <w:top w:val="none" w:color="000000" w:sz="4"/>
                    <w:left w:val="single" w:color="000000" w:sz="4"/>
                    <w:bottom w:val="single" w:color="000000" w:sz="4"/>
                    <w:right w:val="single" w:color="000000" w:sz="4"/>
                  </w:tcBorders>
                  <w:vAlign w:val="bottom"/>
                </w:tcPr>
                <w:p>
                  <w:pPr>
                    <w:ind w:firstLine="420"/>
                    <w:jc w:val="both"/>
                  </w:pPr>
                  <w:r>
                    <w:rPr>
                      <w:sz w:val="21"/>
                    </w:rPr>
                    <w:t>70%&lt;=X&lt;75%</w:t>
                  </w:r>
                </w:p>
              </w:tc>
              <w:tc>
                <w:tcPr>
                  <w:tcW w:type="dxa" w:w="2250"/>
                  <w:tcBorders>
                    <w:top w:val="none" w:color="000000" w:sz="4"/>
                    <w:left w:val="none" w:color="000000" w:sz="4"/>
                    <w:bottom w:val="single" w:color="000000" w:sz="4"/>
                    <w:right w:val="single" w:color="000000" w:sz="4"/>
                  </w:tcBorders>
                  <w:vAlign w:val="bottom"/>
                </w:tcPr>
                <w:p>
                  <w:pPr>
                    <w:ind w:firstLine="420"/>
                    <w:jc w:val="both"/>
                  </w:pPr>
                  <w:r>
                    <w:rPr>
                      <w:sz w:val="21"/>
                    </w:rPr>
                    <w:t>1.5</w:t>
                  </w:r>
                </w:p>
              </w:tc>
            </w:tr>
            <w:tr>
              <w:tc>
                <w:tcPr>
                  <w:tcW w:type="dxa" w:w="1905"/>
                  <w:tcBorders>
                    <w:top w:val="none" w:color="000000" w:sz="4"/>
                    <w:left w:val="single" w:color="000000" w:sz="4"/>
                    <w:bottom w:val="single" w:color="000000" w:sz="4"/>
                    <w:right w:val="single" w:color="000000" w:sz="4"/>
                  </w:tcBorders>
                  <w:vAlign w:val="bottom"/>
                </w:tcPr>
                <w:p>
                  <w:pPr>
                    <w:ind w:firstLine="420"/>
                    <w:jc w:val="both"/>
                  </w:pPr>
                  <w:r>
                    <w:rPr>
                      <w:sz w:val="21"/>
                    </w:rPr>
                    <w:t>65%&lt;=X&lt;70%</w:t>
                  </w:r>
                </w:p>
              </w:tc>
              <w:tc>
                <w:tcPr>
                  <w:tcW w:type="dxa" w:w="2250"/>
                  <w:tcBorders>
                    <w:top w:val="none" w:color="000000" w:sz="4"/>
                    <w:left w:val="none" w:color="000000" w:sz="4"/>
                    <w:bottom w:val="single" w:color="000000" w:sz="4"/>
                    <w:right w:val="single" w:color="000000" w:sz="4"/>
                  </w:tcBorders>
                  <w:vAlign w:val="bottom"/>
                </w:tcPr>
                <w:p>
                  <w:pPr>
                    <w:ind w:firstLine="420"/>
                    <w:jc w:val="both"/>
                  </w:pPr>
                  <w:r>
                    <w:rPr>
                      <w:sz w:val="21"/>
                    </w:rPr>
                    <w:t>1.8</w:t>
                  </w:r>
                </w:p>
              </w:tc>
            </w:tr>
            <w:tr>
              <w:tc>
                <w:tcPr>
                  <w:tcW w:type="dxa" w:w="1905"/>
                  <w:tcBorders>
                    <w:top w:val="none" w:color="000000" w:sz="4"/>
                    <w:left w:val="single" w:color="000000" w:sz="4"/>
                    <w:bottom w:val="single" w:color="000000" w:sz="4"/>
                    <w:right w:val="single" w:color="000000" w:sz="4"/>
                  </w:tcBorders>
                  <w:vAlign w:val="bottom"/>
                </w:tcPr>
                <w:p>
                  <w:pPr>
                    <w:ind w:firstLine="420"/>
                    <w:jc w:val="both"/>
                  </w:pPr>
                  <w:r>
                    <w:rPr>
                      <w:sz w:val="21"/>
                    </w:rPr>
                    <w:t>60%&lt;=X&lt;65%</w:t>
                  </w:r>
                </w:p>
              </w:tc>
              <w:tc>
                <w:tcPr>
                  <w:tcW w:type="dxa" w:w="2250"/>
                  <w:tcBorders>
                    <w:top w:val="none" w:color="000000" w:sz="4"/>
                    <w:left w:val="none" w:color="000000" w:sz="4"/>
                    <w:bottom w:val="single" w:color="000000" w:sz="4"/>
                    <w:right w:val="single" w:color="000000" w:sz="4"/>
                  </w:tcBorders>
                  <w:vAlign w:val="bottom"/>
                </w:tcPr>
                <w:p>
                  <w:pPr>
                    <w:ind w:firstLine="420"/>
                    <w:jc w:val="both"/>
                  </w:pPr>
                  <w:r>
                    <w:rPr>
                      <w:sz w:val="21"/>
                    </w:rPr>
                    <w:t>2</w:t>
                  </w:r>
                </w:p>
              </w:tc>
            </w:tr>
            <w:tr>
              <w:tc>
                <w:tcPr>
                  <w:tcW w:type="dxa" w:w="1905"/>
                  <w:tcBorders>
                    <w:top w:val="none" w:color="000000" w:sz="4"/>
                    <w:left w:val="single" w:color="000000" w:sz="4"/>
                    <w:bottom w:val="single" w:color="000000" w:sz="4"/>
                    <w:right w:val="single" w:color="000000" w:sz="4"/>
                  </w:tcBorders>
                  <w:vAlign w:val="bottom"/>
                </w:tcPr>
                <w:p>
                  <w:pPr>
                    <w:ind w:firstLine="420"/>
                    <w:jc w:val="both"/>
                  </w:pPr>
                  <w:r>
                    <w:rPr>
                      <w:sz w:val="21"/>
                    </w:rPr>
                    <w:t>X&lt;60%</w:t>
                  </w:r>
                </w:p>
              </w:tc>
              <w:tc>
                <w:tcPr>
                  <w:tcW w:type="dxa" w:w="2250"/>
                  <w:tcBorders>
                    <w:top w:val="none" w:color="000000" w:sz="4"/>
                    <w:left w:val="none" w:color="000000" w:sz="4"/>
                    <w:bottom w:val="single" w:color="000000" w:sz="4"/>
                    <w:right w:val="single" w:color="000000" w:sz="4"/>
                  </w:tcBorders>
                  <w:vAlign w:val="bottom"/>
                </w:tcPr>
                <w:p>
                  <w:pPr>
                    <w:ind w:firstLine="420"/>
                    <w:jc w:val="both"/>
                  </w:pPr>
                  <w:r>
                    <w:rPr>
                      <w:sz w:val="21"/>
                    </w:rPr>
                    <w:t>扣除本月费用</w:t>
                  </w:r>
                </w:p>
              </w:tc>
            </w:tr>
          </w:tbl>
          <w:p>
            <w:pPr>
              <w:ind w:firstLine="420"/>
              <w:jc w:val="both"/>
            </w:pPr>
            <w:r>
              <w:rPr>
                <w:sz w:val="21"/>
              </w:rPr>
              <w:t>3.2、每月实付费用=每月应付金额-每月扣费金额。</w:t>
            </w:r>
          </w:p>
          <w:p>
            <w:pPr>
              <w:ind w:firstLine="420"/>
              <w:jc w:val="both"/>
            </w:pPr>
            <w:r>
              <w:rPr>
                <w:sz w:val="21"/>
              </w:rPr>
              <w:t>由于不可抗拒因素（如市政施工、自然灾害等）造成故障，运维服务商可通过书面申请，经河源市紫金县公安局管理部门审核通过后，可不纳入考核扣费。不可抗拒因素结束后，运维服务商必须尽快排除故障。</w:t>
            </w:r>
          </w:p>
          <w:p>
            <w:pPr>
              <w:ind w:firstLine="420"/>
              <w:jc w:val="both"/>
            </w:pPr>
            <w:r>
              <w:rPr>
                <w:sz w:val="21"/>
              </w:rPr>
              <w:t>考核结果应用</w:t>
            </w:r>
          </w:p>
          <w:p>
            <w:pPr>
              <w:ind w:firstLine="420"/>
              <w:jc w:val="both"/>
            </w:pPr>
            <w:r>
              <w:rPr>
                <w:sz w:val="21"/>
              </w:rPr>
              <w:t>每月</w:t>
            </w:r>
            <w:r>
              <w:rPr>
                <w:sz w:val="21"/>
              </w:rPr>
              <w:t>5号之前，运维服务商对上个月运维考核结果进行核实，如有异议或其他需补充说明的，以书面形式提交河源市紫金县公安局管理部门，逾期未提交的视为接受考核结果。河源市紫金县公安局管理部门根据运维服务商提交的材料进行核实，确因不可抗拒因素（如市政施工、自然灾害等）造成视频故障的，不纳入考核扣费。</w:t>
            </w:r>
          </w:p>
          <w:p>
            <w:pPr>
              <w:ind w:firstLine="420"/>
              <w:jc w:val="both"/>
            </w:pPr>
            <w:r>
              <w:rPr>
                <w:sz w:val="21"/>
              </w:rPr>
              <w:t>紫金县公安局管理部门在每月</w:t>
            </w:r>
            <w:r>
              <w:rPr>
                <w:sz w:val="21"/>
              </w:rPr>
              <w:t>10号前将考核结果送达运维服务商，运维服务商根据考核结果开具上月实际支付费用发票。紫金县财政局根据考核结果和发票支付费用。</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投标人须知</w:t>
      </w:r>
    </w:p>
    <w:p>
      <w:pPr>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ind w:firstLine="480"/>
      </w:pPr>
      <w:r>
        <w:rPr/>
        <w:t>请注意：供应商需在投标文件截止时间前，将加密投标文件上传至云平台项目采购系统中并取得回执，逾期上传或错误方式投递送达将导致投标无效。</w:t>
      </w:r>
    </w:p>
    <w:p>
      <w:r>
        <w:rPr>
          <w:b/>
          <w:sz w:val="24"/>
        </w:rPr>
        <w:t>一、名词解释</w:t>
      </w:r>
    </w:p>
    <w:p>
      <w:pPr>
        <w:ind w:firstLine="480"/>
      </w:pPr>
      <w:r>
        <w:rPr/>
        <w:t>1.采购代理机构：本项目是指广东省华屹项目管理有限公司，负责整个采购活动的组织，依法负责编制和发布招标文件，对招标文件拥有最终的解释权，不以任何身份出任评标委员会成员。</w:t>
      </w:r>
    </w:p>
    <w:p>
      <w:pPr>
        <w:ind w:firstLine="480"/>
      </w:pPr>
      <w:r>
        <w:rPr/>
        <w:t>2.采购人：本项目是指</w:t>
      </w:r>
      <w:r>
        <w:rPr/>
        <w:t>紫金县公安局</w:t>
      </w:r>
      <w:r>
        <w:rPr/>
        <w:t>，是采购活动当事人之一，负责项目的整体规划、技术方案可行性设计论证与实施，作为合同采购方（用户）的主体承担质疑回复、履行合同、验收与评价等义务。</w:t>
      </w:r>
    </w:p>
    <w:p>
      <w:pPr>
        <w:ind w:firstLine="480"/>
      </w:pPr>
      <w:r>
        <w:rPr/>
        <w:t>3.投标人：是指在云平台项目采购系统完成本项目投标登记并提交电子投标文件的供应商。</w:t>
      </w:r>
    </w:p>
    <w:p>
      <w:pPr>
        <w:ind w:firstLine="480"/>
      </w:pPr>
      <w:r>
        <w:rPr/>
        <w:t>4.“评标委员会”是指根据《中华人民共和国政府采购法》等法律法规规定，由采购人代表和有关专家组成以确定中标供应商或者推荐中标候选人的临时组织。</w:t>
      </w:r>
    </w:p>
    <w:p>
      <w:pPr>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ind w:firstLine="480"/>
      </w:pPr>
      <w:r>
        <w:rPr/>
        <w:t>6.招标文件：是指包括招标公告和招标文件及其补充、变更和澄清等一系列文件。</w:t>
      </w:r>
    </w:p>
    <w:p>
      <w:pPr>
        <w:ind w:firstLine="480"/>
      </w:pPr>
      <w:r>
        <w:rPr/>
        <w:t>7.电子投标文件：是指使用云平台提供的投标客户端制作加密并上传到系统的投标文件。（投标客户端制作投标文件时，生成的后缀为“.标书”的文件）</w:t>
      </w:r>
    </w:p>
    <w:p>
      <w:pPr>
        <w:ind w:firstLine="480"/>
      </w:pPr>
      <w:r>
        <w:rPr/>
        <w:t>8.备用电子投标文件：是指使用云平台提供的投标客户端制作电子投标文件时，同时生成的同一版本的备用投标文件。（投标客户端制作投标文件时，生成的后缀为“.备用标书”的文件）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pPr>
        <w:ind w:firstLine="480"/>
      </w:pP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本表与招标文件对应章节的内容若不一致，以本表为准。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r>
              <w:rPr/>
              <w:t>1</w:t>
            </w:r>
          </w:p>
        </w:tc>
        <w:tc>
          <w:tcPr>
            <w:tcW w:type="dxa" w:w="2252"/>
          </w:tcPr>
          <w:p>
            <w:r>
              <w:rPr/>
              <w:t>采购包情况</w:t>
            </w:r>
          </w:p>
        </w:tc>
        <w:tc>
          <w:tcPr>
            <w:tcW w:type="dxa" w:w="5004"/>
          </w:tcPr>
          <w:p>
            <w:r>
              <w:rPr/>
              <w:t>本项目共</w:t>
            </w:r>
            <w:r>
              <w:rPr/>
              <w:t>1</w:t>
            </w:r>
            <w:r>
              <w:rPr/>
              <w:t>个采购包</w:t>
            </w:r>
          </w:p>
        </w:tc>
      </w:tr>
      <w:tr>
        <w:tc>
          <w:tcPr>
            <w:tcW w:type="dxa" w:w="1051"/>
          </w:tcPr>
          <w:p>
            <w:r>
              <w:rPr/>
              <w:t>2</w:t>
            </w:r>
          </w:p>
        </w:tc>
        <w:tc>
          <w:tcPr>
            <w:tcW w:type="dxa" w:w="2252"/>
          </w:tcPr>
          <w:p>
            <w:r>
              <w:rPr/>
              <w:t>开标方式</w:t>
            </w:r>
          </w:p>
        </w:tc>
        <w:tc>
          <w:tcPr>
            <w:tcW w:type="dxa" w:w="5004"/>
          </w:tcPr>
          <w:p>
            <w:r>
              <w:rPr/>
              <w:t>现场电子开标</w:t>
            </w:r>
          </w:p>
        </w:tc>
      </w:tr>
      <w:tr>
        <w:tc>
          <w:tcPr>
            <w:tcW w:type="dxa" w:w="1051"/>
          </w:tcPr>
          <w:p>
            <w:r>
              <w:rPr/>
              <w:t>3</w:t>
            </w:r>
          </w:p>
        </w:tc>
        <w:tc>
          <w:tcPr>
            <w:tcW w:type="dxa" w:w="2252"/>
          </w:tcPr>
          <w:p>
            <w:r>
              <w:rPr/>
              <w:t>评标方式</w:t>
            </w:r>
          </w:p>
        </w:tc>
        <w:tc>
          <w:tcPr>
            <w:tcW w:type="dxa" w:w="5004"/>
          </w:tcPr>
          <w:p>
            <w:r>
              <w:rPr/>
              <w:t>现场电子评标</w:t>
            </w:r>
            <w:r>
              <w:rPr/>
              <w:t>（供应商应当审慎标记各评审项的应答部分，标记内容清晰且完整，否则将自行承担不利后果）</w:t>
            </w:r>
          </w:p>
        </w:tc>
      </w:tr>
      <w:tr>
        <w:tc>
          <w:tcPr>
            <w:tcW w:type="dxa" w:w="1051"/>
          </w:tcPr>
          <w:p>
            <w:r>
              <w:rPr/>
              <w:t>4</w:t>
            </w:r>
          </w:p>
        </w:tc>
        <w:tc>
          <w:tcPr>
            <w:tcW w:type="dxa" w:w="2252"/>
          </w:tcPr>
          <w:p>
            <w:r>
              <w:rPr/>
              <w:t>评标办法</w:t>
            </w:r>
          </w:p>
        </w:tc>
        <w:tc>
          <w:tcPr>
            <w:tcW w:type="dxa" w:w="5004"/>
          </w:tcPr>
          <w:p>
            <w:r>
              <w:rPr/>
              <w:t>采购包1：综合评分法</w:t>
            </w:r>
          </w:p>
        </w:tc>
      </w:tr>
      <w:tr>
        <w:tc>
          <w:tcPr>
            <w:tcW w:type="dxa" w:w="1051"/>
          </w:tcPr>
          <w:p>
            <w:r>
              <w:rPr/>
              <w:t>5</w:t>
            </w:r>
          </w:p>
        </w:tc>
        <w:tc>
          <w:tcPr>
            <w:tcW w:type="dxa" w:w="2252"/>
          </w:tcPr>
          <w:p>
            <w:r>
              <w:rPr/>
              <w:t>报价形式</w:t>
            </w:r>
          </w:p>
        </w:tc>
        <w:tc>
          <w:tcPr>
            <w:tcW w:type="dxa" w:w="5004"/>
          </w:tcPr>
          <w:p/>
          <w:p>
            <w:r>
              <w:rPr/>
              <w:t>采购包1：总价</w:t>
            </w:r>
          </w:p>
        </w:tc>
      </w:tr>
      <w:tr>
        <w:tc>
          <w:tcPr>
            <w:tcW w:type="dxa" w:w="1051"/>
          </w:tcPr>
          <w:p>
            <w:r>
              <w:rPr/>
              <w:t>6</w:t>
            </w:r>
          </w:p>
        </w:tc>
        <w:tc>
          <w:tcPr>
            <w:tcW w:type="dxa" w:w="2252"/>
          </w:tcPr>
          <w:p>
            <w:r>
              <w:rPr/>
              <w:t>报价要求</w:t>
            </w:r>
          </w:p>
        </w:tc>
        <w:tc>
          <w:tcPr>
            <w:tcW w:type="dxa" w:w="5004"/>
          </w:tcPr>
          <w:p>
            <w:r>
              <w:rPr/>
              <w:t>各采购包报价不超过预算总价</w:t>
            </w:r>
          </w:p>
        </w:tc>
      </w:tr>
      <w:tr>
        <w:tc>
          <w:tcPr>
            <w:tcW w:type="dxa" w:w="1051"/>
          </w:tcPr>
          <w:p>
            <w:r>
              <w:rPr/>
              <w:t>7</w:t>
            </w:r>
          </w:p>
        </w:tc>
        <w:tc>
          <w:tcPr>
            <w:tcW w:type="dxa" w:w="2252"/>
          </w:tcPr>
          <w:p>
            <w:r>
              <w:rPr/>
              <w:t>现场踏勘</w:t>
            </w:r>
          </w:p>
        </w:tc>
        <w:tc>
          <w:tcPr>
            <w:tcW w:type="dxa" w:w="5004"/>
          </w:tcPr>
          <w:p/>
          <w:p>
            <w:r>
              <w:rPr/>
              <w:t>否</w:t>
            </w:r>
          </w:p>
        </w:tc>
      </w:tr>
      <w:tr>
        <w:tc>
          <w:tcPr>
            <w:tcW w:type="dxa" w:w="1051"/>
          </w:tcPr>
          <w:p>
            <w:r>
              <w:rPr/>
              <w:t>8</w:t>
            </w:r>
          </w:p>
        </w:tc>
        <w:tc>
          <w:tcPr>
            <w:tcW w:type="dxa" w:w="2252"/>
          </w:tcPr>
          <w:p>
            <w:r>
              <w:rPr/>
              <w:t>投标有效期</w:t>
            </w:r>
          </w:p>
        </w:tc>
        <w:tc>
          <w:tcPr>
            <w:tcW w:type="dxa" w:w="5004"/>
          </w:tcPr>
          <w:p>
            <w:r>
              <w:rPr/>
              <w:t>从提交投标（响应）文件的截止之日起90日历天</w:t>
            </w:r>
          </w:p>
        </w:tc>
      </w:tr>
      <w:tr>
        <w:tc>
          <w:tcPr>
            <w:tcW w:type="dxa" w:w="1051"/>
          </w:tcPr>
          <w:p>
            <w:r>
              <w:rPr/>
              <w:t>9</w:t>
            </w:r>
          </w:p>
        </w:tc>
        <w:tc>
          <w:tcPr>
            <w:tcW w:type="dxa" w:w="2252"/>
          </w:tcPr>
          <w:p>
            <w:r>
              <w:rPr/>
              <w:t>投标保证金</w:t>
            </w:r>
          </w:p>
        </w:tc>
        <w:tc>
          <w:tcPr>
            <w:tcW w:type="dxa" w:w="5004"/>
          </w:tcPr>
          <w:p>
            <w:pPr>
              <w:ind w:firstLine="480"/>
            </w:pPr>
          </w:p>
          <w:p>
            <w:r>
              <w:rPr/>
              <w:t>采购包1：保证金人民币：50,000.00元整。</w:t>
            </w:r>
          </w:p>
          <w:p>
            <w:r>
              <w:rPr/>
              <w:t>开户单位：</w:t>
            </w:r>
            <w:r>
              <w:rPr/>
              <w:t>广东省华屹项目管理有限公司</w:t>
            </w:r>
          </w:p>
          <w:p>
            <w:r>
              <w:rPr/>
              <w:t>开户账号：</w:t>
            </w:r>
            <w:r>
              <w:rPr/>
              <w:t>2006023119200007937</w:t>
            </w:r>
          </w:p>
          <w:p>
            <w:r>
              <w:rPr/>
              <w:t>开户银行：</w:t>
            </w:r>
            <w:r>
              <w:rPr/>
              <w:t>中国工商银行河源永和路支行</w:t>
            </w:r>
          </w:p>
          <w:p>
            <w:r>
              <w:rPr/>
              <w:t>支票提交方式：</w:t>
            </w:r>
            <w:r>
              <w:rPr/>
              <w:t>以支票或汇票或本票或保函(线下形式的保函)等形式递交投标(响应)保证金的， 须在投标(响应)截止时间前将原件递交给采购代理机构。投标人(供应商)若提交的支票或汇票或 本票或保函(线下形式的保函)为非有效真实文件，采购人有权将投标人(供应商)上报监管部门， 将其列入失信名单。</w:t>
            </w:r>
          </w:p>
          <w:p>
            <w:r>
              <w:rPr/>
              <w:t>汇票、本票提交方式：</w:t>
            </w:r>
            <w:r>
              <w:rPr/>
              <w:t>以支票或汇票或本票或保函(线下形式的保函)等形式递交投标(响应)保证金的， 须在投标(响应)截止时间前将原件递交给采购代理机构。投标人(供应商)若提交的支票或汇票或 本票或保函(线下形式的保函)为非有效真实文件，采购人有权将投标人(供应商)上报监管部门， 将其列入失信名单。</w:t>
            </w:r>
          </w:p>
          <w:p/>
          <w:p>
            <w:pPr>
              <w:ind w:firstLine="480"/>
            </w:pPr>
            <w:r>
              <w:rPr/>
              <w:t>投标保证金有效期∶与投标有效期一致。</w:t>
            </w:r>
          </w:p>
          <w:p>
            <w:pPr>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r>
              <w:rPr/>
              <w:t>10</w:t>
            </w:r>
          </w:p>
        </w:tc>
        <w:tc>
          <w:tcPr>
            <w:tcW w:type="dxa" w:w="2252"/>
          </w:tcPr>
          <w:p>
            <w:r>
              <w:rPr/>
              <w:t>投标文件要求</w:t>
            </w:r>
          </w:p>
        </w:tc>
        <w:tc>
          <w:tcPr>
            <w:tcW w:type="dxa" w:w="5004"/>
          </w:tcPr>
          <w:p>
            <w:pPr>
              <w:ind w:firstLine="480"/>
            </w:pPr>
            <w:r>
              <w:rPr>
                <w:b/>
              </w:rPr>
              <w:t>一、电子投标文件（必须提供）：</w:t>
            </w:r>
          </w:p>
          <w:p>
            <w:pPr>
              <w:ind w:firstLine="480"/>
            </w:pPr>
            <w:r>
              <w:rPr/>
              <w:t>（1）加密的电子投标文件 1 份（需在递交投标文件截止时间前成功上传至云平台项目采购系统）。</w:t>
            </w:r>
          </w:p>
          <w:p>
            <w:pPr>
              <w:ind w:firstLine="480"/>
            </w:pPr>
            <w:r>
              <w:rPr/>
              <w:t>（2）非加密电子版文件 U 盘(或光盘)</w:t>
            </w:r>
            <w:r>
              <w:rPr/>
              <w:t>1</w:t>
            </w:r>
            <w:r>
              <w:rPr/>
              <w:t>份，加密的电子投标文件与非加密的电子投标文件必须完全一致。</w:t>
            </w:r>
          </w:p>
          <w:p>
            <w:pPr>
              <w:ind w:firstLine="480"/>
            </w:pPr>
            <w:r>
              <w:rPr>
                <w:b/>
              </w:rPr>
              <w:t>非加密电子版投标文件使用情形:</w:t>
            </w:r>
            <w:r>
              <w:rPr/>
              <w:t>当无法使用 CA 证书在云平台项目采购系统进行电子投标文件开标解密时，供应商须在代理机构指引下启用非加密电子版投标文件。</w:t>
            </w:r>
          </w:p>
          <w:p>
            <w:pPr>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r>
              <w:rPr/>
              <w:t>11</w:t>
            </w:r>
          </w:p>
        </w:tc>
        <w:tc>
          <w:tcPr>
            <w:tcW w:type="dxa" w:w="2252"/>
          </w:tcPr>
          <w:p>
            <w:r>
              <w:rPr/>
              <w:t>中标候选供应商推荐家数</w:t>
            </w:r>
          </w:p>
        </w:tc>
        <w:tc>
          <w:tcPr>
            <w:tcW w:type="dxa" w:w="5004"/>
          </w:tcPr>
          <w:p>
            <w:r>
              <w:rPr/>
              <w:t>采购包1：</w:t>
            </w:r>
            <w:r>
              <w:rPr/>
              <w:t>3家</w:t>
            </w:r>
          </w:p>
        </w:tc>
      </w:tr>
      <w:tr>
        <w:tc>
          <w:tcPr>
            <w:tcW w:type="dxa" w:w="1051"/>
          </w:tcPr>
          <w:p>
            <w:r>
              <w:rPr/>
              <w:t>12</w:t>
            </w:r>
          </w:p>
        </w:tc>
        <w:tc>
          <w:tcPr>
            <w:tcW w:type="dxa" w:w="2252"/>
          </w:tcPr>
          <w:p>
            <w:pPr>
              <w:ind w:firstLine="480"/>
            </w:pPr>
            <w:r>
              <w:rPr/>
              <w:t>中标供应商数量</w:t>
            </w:r>
          </w:p>
        </w:tc>
        <w:tc>
          <w:tcPr>
            <w:tcW w:type="dxa" w:w="5004"/>
          </w:tcPr>
          <w:p>
            <w:pPr>
              <w:ind w:firstLine="480"/>
            </w:pPr>
          </w:p>
          <w:p>
            <w:r>
              <w:rPr/>
              <w:t>采购包1：</w:t>
            </w:r>
            <w:r>
              <w:rPr/>
              <w:t>1家</w:t>
            </w:r>
          </w:p>
          <w:p/>
        </w:tc>
      </w:tr>
      <w:tr>
        <w:tc>
          <w:tcPr>
            <w:tcW w:type="dxa" w:w="1051"/>
          </w:tcPr>
          <w:p>
            <w:r>
              <w:rPr/>
              <w:t>13</w:t>
            </w:r>
          </w:p>
        </w:tc>
        <w:tc>
          <w:tcPr>
            <w:tcW w:type="dxa" w:w="2252"/>
          </w:tcPr>
          <w:p>
            <w:pPr>
              <w:ind w:firstLine="480"/>
            </w:pPr>
            <w:r>
              <w:rPr/>
              <w:t>有效供应商家数</w:t>
            </w:r>
          </w:p>
        </w:tc>
        <w:tc>
          <w:tcPr>
            <w:tcW w:type="dxa" w:w="5004"/>
          </w:tcPr>
          <w:p>
            <w:pPr>
              <w:ind w:firstLine="480"/>
            </w:pPr>
          </w:p>
          <w:p>
            <w:pPr>
              <w:jc w:val="left"/>
            </w:pPr>
          </w:p>
          <w:p>
            <w:r>
              <w:rPr/>
              <w:t>采购包1：3家</w:t>
            </w:r>
          </w:p>
          <w:p/>
          <w:p>
            <w:pPr>
              <w:ind w:firstLine="480"/>
            </w:pPr>
            <w:r>
              <w:rPr/>
              <w:t>此人数约定了开标与评标过程中的最低有效供应商家数，当家数不足时项目将不得开标、不得评标或直接废标。</w:t>
            </w:r>
          </w:p>
        </w:tc>
      </w:tr>
      <w:tr>
        <w:tc>
          <w:tcPr>
            <w:tcW w:type="dxa" w:w="1051"/>
          </w:tcPr>
          <w:p>
            <w:r>
              <w:rPr/>
              <w:t>14</w:t>
            </w:r>
          </w:p>
        </w:tc>
        <w:tc>
          <w:tcPr>
            <w:tcW w:type="dxa" w:w="2252"/>
          </w:tcPr>
          <w:p>
            <w:r>
              <w:rPr/>
              <w:t>项目兼投兼中（兼投不兼中）规则</w:t>
            </w:r>
          </w:p>
        </w:tc>
        <w:tc>
          <w:tcPr>
            <w:tcW w:type="dxa" w:w="5004"/>
          </w:tcPr>
          <w:p>
            <w:r>
              <w:rPr/>
              <w:t>无：-</w:t>
            </w:r>
          </w:p>
        </w:tc>
      </w:tr>
      <w:tr>
        <w:tc>
          <w:tcPr>
            <w:tcW w:type="dxa" w:w="1051"/>
          </w:tcPr>
          <w:p>
            <w:r>
              <w:rPr/>
              <w:t>15</w:t>
            </w:r>
          </w:p>
        </w:tc>
        <w:tc>
          <w:tcPr>
            <w:tcW w:type="dxa" w:w="2252"/>
          </w:tcPr>
          <w:p>
            <w:r>
              <w:rPr/>
              <w:t>中标供应商确定方式</w:t>
            </w:r>
          </w:p>
        </w:tc>
        <w:tc>
          <w:tcPr>
            <w:tcW w:type="dxa" w:w="5004"/>
          </w:tcPr>
          <w:p>
            <w:r>
              <w:rPr/>
              <w:t>采购人按照评审报告中推荐的成交候选人确定中标（成交）人。</w:t>
            </w:r>
          </w:p>
        </w:tc>
      </w:tr>
      <w:tr>
        <w:tc>
          <w:tcPr>
            <w:tcW w:type="dxa" w:w="1051"/>
          </w:tcPr>
          <w:p>
            <w:r>
              <w:rPr/>
              <w:t>16</w:t>
            </w:r>
          </w:p>
        </w:tc>
        <w:tc>
          <w:tcPr>
            <w:tcW w:type="dxa" w:w="2252"/>
          </w:tcPr>
          <w:p>
            <w:r>
              <w:rPr/>
              <w:t>代理服务费</w:t>
            </w:r>
          </w:p>
        </w:tc>
        <w:tc>
          <w:tcPr>
            <w:tcW w:type="dxa" w:w="5004"/>
          </w:tcPr>
          <w:p>
            <w:r>
              <w:rPr/>
              <w:t>收取。</w:t>
            </w:r>
          </w:p>
          <w:p>
            <w:r>
              <w:rPr/>
              <w:t>采购机构代理服务收费标准：参照国家发展计划委员会颁发的[2002]1980号文《招标代理服务收费管理暂行办法》及[2011]534号文《国家发改委关于降低部分建设项目收费标准规范收费行为等有关问题的通知》的有关规定进行收取。按成交金额计算：服务类。说明：1.代理服务费按差额定率累进法计算。2.代理服务费以人民币支付。3.代理服务费支付方式：一次性以银行转账或现金形式支付。4.代理服务费银行缴纳账户：(收款人)广东省华屹项目管理有限公司，(开户银行)中国银行股份有限公司河源源城支行，(账号)676971399410，用途：“备注项目编号”代理服务费。5.代理服务费不在投标报价中单列。6.中标(成交)供应商如果不按规定交纳代理服务费，采购代理机构将在中标(成交)供应商的保证金中抵扣服务费，不足部分采购代理机构保留进一步追索权利。7.不足人民币5000元，则按人民币5000元收取。</w:t>
            </w:r>
          </w:p>
        </w:tc>
      </w:tr>
      <w:tr>
        <w:tc>
          <w:tcPr>
            <w:tcW w:type="dxa" w:w="1051"/>
          </w:tcPr>
          <w:p>
            <w:r>
              <w:rPr/>
              <w:t>17</w:t>
            </w:r>
          </w:p>
        </w:tc>
        <w:tc>
          <w:tcPr>
            <w:tcW w:type="dxa" w:w="2252"/>
          </w:tcPr>
          <w:p>
            <w:r>
              <w:rPr/>
              <w:t>代理服务费收取方式</w:t>
            </w:r>
          </w:p>
        </w:tc>
        <w:tc>
          <w:tcPr>
            <w:tcW w:type="dxa" w:w="5004"/>
          </w:tcPr>
          <w:p>
            <w:r>
              <w:rPr/>
              <w:t>向中标/成交供应商收取</w:t>
            </w:r>
          </w:p>
        </w:tc>
      </w:tr>
      <w:tr>
        <w:tc>
          <w:tcPr>
            <w:tcW w:type="dxa" w:w="1051"/>
          </w:tcPr>
          <w:p>
            <w:r>
              <w:rPr/>
              <w:t>18</w:t>
            </w:r>
          </w:p>
        </w:tc>
        <w:tc>
          <w:tcPr>
            <w:tcW w:type="dxa" w:w="2252"/>
          </w:tcPr>
          <w:p>
            <w:r>
              <w:rPr/>
              <w:t>其他</w:t>
            </w:r>
          </w:p>
        </w:tc>
        <w:tc>
          <w:tcPr>
            <w:tcW w:type="dxa" w:w="5004"/>
          </w:tcPr>
          <w:p/>
        </w:tc>
      </w:tr>
      <w:tr>
        <w:tc>
          <w:tcPr>
            <w:tcW w:type="dxa" w:w="1051"/>
          </w:tcPr>
          <w:p>
            <w:r>
              <w:rPr/>
              <w:t>19</w:t>
            </w:r>
          </w:p>
        </w:tc>
        <w:tc>
          <w:tcPr>
            <w:tcW w:type="dxa" w:w="2252"/>
          </w:tcPr>
          <w:p>
            <w:r>
              <w:rPr/>
              <w:t>开标解密时长</w:t>
            </w:r>
          </w:p>
        </w:tc>
        <w:tc>
          <w:tcPr>
            <w:tcW w:type="dxa" w:w="5004"/>
          </w:tcPr>
          <w:p/>
          <w:p>
            <w:r>
              <w:rPr/>
              <w:t>说明：具体情况根据开标时现场代理机构人员设置为准</w:t>
            </w:r>
          </w:p>
        </w:tc>
      </w:tr>
      <w:tr>
        <w:tc>
          <w:tcPr>
            <w:tcW w:type="dxa" w:w="1051"/>
          </w:tcPr>
          <w:p>
            <w:r>
              <w:rPr/>
              <w:t>20</w:t>
            </w:r>
          </w:p>
        </w:tc>
        <w:tc>
          <w:tcPr>
            <w:tcW w:type="dxa" w:w="2252"/>
          </w:tcPr>
          <w:p>
            <w:r>
              <w:rPr/>
              <w:t>专门面向中小企业采购</w:t>
            </w:r>
          </w:p>
        </w:tc>
        <w:tc>
          <w:tcPr>
            <w:tcW w:type="dxa" w:w="5004"/>
          </w:tcPr>
          <w:p>
            <w:pPr>
              <w:jc w:val="left"/>
            </w:pPr>
            <w:r>
              <w:rPr/>
              <w:t>采购包1：非专门面向中小企业</w:t>
            </w:r>
          </w:p>
        </w:tc>
      </w:tr>
    </w:tbl>
    <w:p>
      <w:r>
        <w:rPr>
          <w:b/>
          <w:sz w:val="28"/>
        </w:rPr>
        <w:t>三、说明</w:t>
      </w:r>
    </w:p>
    <w:p>
      <w:r>
        <w:rPr>
          <w:b/>
          <w:sz w:val="24"/>
        </w:rPr>
        <w:t>1.总则</w:t>
      </w:r>
    </w:p>
    <w:p>
      <w:pPr>
        <w:ind w:firstLine="480"/>
      </w:pPr>
      <w:r>
        <w:rPr/>
        <w:t>采购人、采购代理机构及投标人进行的本次采购活动适用《中华人民共和国政府采购法》及其配套的法规、规章、政策。</w:t>
      </w:r>
    </w:p>
    <w:p>
      <w:pPr>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ind w:firstLine="480"/>
      </w:pPr>
      <w:r>
        <w:rPr/>
        <w:t>本次公开招标项目，是以招标公告的方式邀请非特定的投标人参加投标。</w:t>
      </w:r>
    </w:p>
    <w:p>
      <w:r>
        <w:rPr>
          <w:b/>
          <w:sz w:val="24"/>
        </w:rPr>
        <w:t>2.适用范围</w:t>
      </w:r>
    </w:p>
    <w:p>
      <w:pPr>
        <w:ind w:firstLine="480"/>
      </w:pPr>
      <w:r>
        <w:rPr/>
        <w:t>本招标文件仅适用于本次招标公告中所涉及的项目和内容。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4.投标的费用</w:t>
      </w:r>
    </w:p>
    <w:p>
      <w:pPr>
        <w:ind w:firstLine="480"/>
      </w:pPr>
      <w:r>
        <w:rPr/>
        <w:t>不论投标结果如何，投标人应承担所有与准备和参加投标有关的费用。采购代理机构和采购人均无义务和责任承担相关费用。</w:t>
      </w:r>
    </w:p>
    <w:p>
      <w:r>
        <w:rPr>
          <w:b/>
          <w:sz w:val="24"/>
        </w:rPr>
        <w:t>5.以联合体形式投标的，应符合以下规定：</w:t>
      </w:r>
    </w:p>
    <w:p>
      <w:pPr>
        <w:ind w:firstLine="480"/>
      </w:pPr>
      <w:r>
        <w:rPr/>
        <w:t>5.1联合体各方均应当满足《中华人民共和国政府采购法》第二十二条规定的条件，并在投标文件中提供联合体各方的相关证明材料。</w:t>
      </w:r>
    </w:p>
    <w:p>
      <w:pPr>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6.关联企业投标说明</w:t>
      </w:r>
    </w:p>
    <w:p>
      <w:pPr>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r>
        <w:rPr>
          <w:b/>
          <w:sz w:val="24"/>
        </w:rPr>
        <w:t>7.关于中小微企业投标</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ind w:firstLine="480"/>
      </w:pPr>
      <w:r>
        <w:rPr/>
        <w:t>8.2在确定中标供应商之前，投标人不得与采购人就投标价格、投标方案等实质性内容进行谈判，也不得私下接触评标委员会成员。</w:t>
      </w:r>
    </w:p>
    <w:p>
      <w:pPr>
        <w:ind w:firstLine="480"/>
      </w:pPr>
      <w:r>
        <w:rPr/>
        <w:t>8.3在确定中标供应商之前，投标人试图在投标文件审查、澄清、比较和评价时对评标委员会、采购人和采购代理机构施加任何影响都可能导致其投标无效。</w:t>
      </w:r>
    </w:p>
    <w:p>
      <w:pPr>
        <w:ind w:firstLine="480"/>
      </w:pPr>
      <w:r>
        <w:rPr/>
        <w:t>8.4获得本招标文件者，须履行本项目下保密义务，不得将因本次项目获得的信息向第三人外传，不得将招标文件用作本次投标以外的任何用途。</w:t>
      </w:r>
    </w:p>
    <w:p>
      <w:pPr>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ind w:firstLine="480"/>
      </w:pPr>
      <w:r>
        <w:rPr/>
        <w:t>8.6采购人或采购代理机构有权将供应商提供的所有资料向有关政府部门或评审小组披露。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9.2除非招标文件的技术规格中另有规定，投标人在投标文件中及其与采购人和采购代理机构的所有往来文件中的计量单位均应采用中华人民共和国法定计量单位。</w:t>
      </w:r>
    </w:p>
    <w:p>
      <w:pPr>
        <w:ind w:firstLine="480"/>
      </w:pPr>
      <w:r>
        <w:rPr/>
        <w:t>9.3投标人所提供的货物和服务均应以人民币报价，货币单位：元。</w:t>
      </w:r>
    </w:p>
    <w:p>
      <w:r>
        <w:rPr>
          <w:b/>
          <w:sz w:val="24"/>
        </w:rPr>
        <w:t>10. 现场踏勘（如有）</w:t>
      </w:r>
    </w:p>
    <w:p>
      <w:pPr>
        <w:ind w:firstLine="480"/>
      </w:pPr>
      <w:r>
        <w:rPr/>
        <w:t>10.1招标文件规定组织踏勘现场的，采购人按招标文件规定的时间、地点组织投标人踏勘项目现场。</w:t>
      </w:r>
    </w:p>
    <w:p>
      <w:pPr>
        <w:ind w:firstLine="480"/>
      </w:pPr>
      <w:r>
        <w:rPr/>
        <w:t>10.2投标人自行承担踏勘现场发生的责任、风险和自身费用。</w:t>
      </w:r>
    </w:p>
    <w:p>
      <w:pPr>
        <w:ind w:firstLine="480"/>
      </w:pPr>
      <w:r>
        <w:rPr/>
        <w:t>10.3采购人在踏勘现场中介绍的资料和数据等，只是为了使投标人能够利用招标人现有的资料。招标人对投标人由此而作出的推论、解释和结论概不负责。</w:t>
      </w:r>
    </w:p>
    <w:p>
      <w:r>
        <w:rPr>
          <w:b/>
          <w:sz w:val="28"/>
        </w:rPr>
        <w:t>四、招标文件的澄清和修改</w:t>
      </w:r>
    </w:p>
    <w:p>
      <w:pPr>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ind w:firstLine="480"/>
      </w:pPr>
      <w:r>
        <w:rPr/>
        <w:t>3.如更正公告有重新发布电子招标文件的，供应商应登录云平台项目采购系统下载最新发布的电子招标文件制作投标文件。</w:t>
      </w:r>
    </w:p>
    <w:p>
      <w:pPr>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r>
        <w:rPr>
          <w:b/>
          <w:sz w:val="28"/>
        </w:rPr>
        <w:t>五、投标要求</w:t>
      </w:r>
    </w:p>
    <w:p>
      <w:r>
        <w:rPr>
          <w:b/>
          <w:sz w:val="24"/>
        </w:rPr>
        <w:t>1.投标登记</w:t>
      </w:r>
    </w:p>
    <w:p>
      <w:pPr>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r>
        <w:rPr>
          <w:b/>
          <w:sz w:val="24"/>
        </w:rPr>
        <w:t>2.投标文件的制作</w:t>
      </w:r>
    </w:p>
    <w:p>
      <w:pPr>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ind w:firstLine="480"/>
      </w:pPr>
      <w:r>
        <w:rPr/>
        <w:t>(2)投标报价包括本项目采购需求和投入使用的所有费用，包括但不限于主件、标准附件、备品备件、施工、服务、专用工具、安装、调试、检验、培训、运输、保险、税款等。</w:t>
      </w:r>
    </w:p>
    <w:p>
      <w:pPr>
        <w:ind w:firstLine="480"/>
      </w:pPr>
      <w:r>
        <w:rPr/>
        <w:t>2.3 如有对多个采购包投标的，要对每个采购包独立制作电子投标文件。</w:t>
      </w:r>
    </w:p>
    <w:p>
      <w:pPr>
        <w:ind w:firstLine="480"/>
      </w:pPr>
      <w:r>
        <w:rPr/>
        <w:t>2.4投标人不得将同一个项目或同一个采购包的内容拆开投标，否则其报价将被视为非实质性响应。</w:t>
      </w:r>
    </w:p>
    <w:p>
      <w:pPr>
        <w:ind w:firstLine="480"/>
      </w:pPr>
      <w:r>
        <w:rPr/>
        <w:t>2.5投标人须对招标文件的对应要求给予唯一的实质性响应，否则将视为不响应。</w:t>
      </w:r>
    </w:p>
    <w:p>
      <w:pPr>
        <w:ind w:firstLine="480"/>
      </w:pPr>
      <w:r>
        <w:rPr/>
        <w:t>2.6招标文件中，凡标有“★”的地方均为实质性响应条款，投标人若有一项带“★”的条款未响应或不满足，将按无效投标处理。</w:t>
      </w:r>
    </w:p>
    <w:p>
      <w:pPr>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3.投标文件的提交</w:t>
      </w:r>
    </w:p>
    <w:p>
      <w:pPr>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ind w:firstLine="480"/>
      </w:pPr>
      <w:r>
        <w:rPr/>
        <w:t>3.2代理机构对因不可抗力事件造成的投标文件的损坏、丢失的，不承担责任。</w:t>
      </w:r>
    </w:p>
    <w:p>
      <w:pPr>
        <w:ind w:firstLine="480"/>
      </w:pPr>
      <w:r>
        <w:rPr/>
        <w:t>3.3出现下述情形之一，属于未成功提交投标文件，按无效投标处理：</w:t>
      </w:r>
    </w:p>
    <w:p>
      <w:pPr>
        <w:ind w:firstLine="480"/>
      </w:pPr>
      <w:r>
        <w:rPr/>
        <w:t>（1）至提交投标文件截止时，投标文件未完整上传的。</w:t>
      </w:r>
    </w:p>
    <w:p>
      <w:pPr>
        <w:ind w:firstLine="480"/>
      </w:pPr>
      <w:r>
        <w:rPr/>
        <w:t>（2）投标文件未按投标格式中注明需签字盖章的要求进行签名（含电子签名）和加盖电子印章，或签名（含电子签名）或电子印章不完整的。</w:t>
      </w:r>
    </w:p>
    <w:p>
      <w:pPr>
        <w:ind w:firstLine="480"/>
      </w:pPr>
      <w:r>
        <w:rPr/>
        <w:t>（3）投标文件损坏或格式不正确的。</w:t>
      </w:r>
    </w:p>
    <w:p>
      <w:r>
        <w:rPr>
          <w:b/>
          <w:sz w:val="24"/>
        </w:rPr>
        <w:t>4.投标文件的修改、撤回与撤销</w:t>
      </w:r>
    </w:p>
    <w:p>
      <w:pPr>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ind w:firstLine="480"/>
      </w:pPr>
      <w:r>
        <w:rPr/>
        <w:t>4.2在提交投标文件截止时间后，投标人不得补充、修改和更换投标文件。</w:t>
      </w:r>
    </w:p>
    <w:p>
      <w:r>
        <w:rPr>
          <w:b/>
          <w:sz w:val="24"/>
        </w:rPr>
        <w:t>5.投标文件的解密</w:t>
      </w:r>
    </w:p>
    <w:p>
      <w:pPr>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r>
        <w:rPr>
          <w:b/>
          <w:sz w:val="24"/>
        </w:rPr>
        <w:t>6.投标保证金</w:t>
      </w:r>
    </w:p>
    <w:p>
      <w:pPr>
        <w:ind w:firstLine="480"/>
      </w:pPr>
      <w:r>
        <w:rPr/>
        <w:t>6.1投标保证金的缴纳</w:t>
      </w:r>
    </w:p>
    <w:p>
      <w:pPr>
        <w:ind w:firstLine="480"/>
      </w:pPr>
      <w:r>
        <w:rPr/>
        <w:t>投标人在提交投标文件时，应按投标人须知前附表规定的金额和缴纳要求缴纳投标保证金，并作为其投标文件的组成部分。</w:t>
      </w:r>
    </w:p>
    <w:p>
      <w:pPr>
        <w:ind w:firstLine="480"/>
      </w:pPr>
      <w:r>
        <w:rPr/>
        <w:t>如采用转账、支票、本票、汇票形式提交的，投标保证金从投标人基本账户递交，由</w:t>
      </w:r>
      <w:r>
        <w:rPr/>
        <w:t>广东省华屹项目管理有限公司</w:t>
      </w:r>
      <w:r>
        <w:rPr/>
        <w:t>代收。具体操作要求详见</w:t>
      </w:r>
      <w:r>
        <w:rPr/>
        <w:t>广东省华屹项目管理有限公司</w:t>
      </w:r>
      <w:r>
        <w:rPr/>
        <w:t>有关指引，递交事宜请自行咨询</w:t>
      </w:r>
      <w:r>
        <w:rPr/>
        <w:t>广东省华屹项目管理有限公司</w:t>
      </w:r>
      <w:r>
        <w:rPr/>
        <w:t>；请各投标人在投标文件递交截止时间前按须知前附表规定的金额递交至</w:t>
      </w:r>
      <w:r>
        <w:rPr/>
        <w:t>广东省华屹项目管理有限公司</w:t>
      </w:r>
      <w:r>
        <w:rPr/>
        <w:t>，到账情况以开标时</w:t>
      </w:r>
      <w:r>
        <w:rPr/>
        <w:t>广东省华屹项目管理有限公司</w:t>
      </w:r>
      <w:r>
        <w:rPr/>
        <w:t>查询的信息为准。</w:t>
      </w:r>
    </w:p>
    <w:p>
      <w:pPr>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ind w:firstLine="480"/>
      </w:pPr>
      <w:r>
        <w:rPr/>
        <w:t>投标人可通过"广东政府采购智慧云平台金融服务中心"(https://gdgpo.czt.gd.gov.cn/zcdservice/zcd/guangdong/)，申请办理电子保函，电子保函与纸质保函具有同样效力。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ind w:firstLine="480"/>
      </w:pPr>
      <w:r>
        <w:rPr/>
        <w:t>6.2投标保证金的退还：</w:t>
      </w:r>
    </w:p>
    <w:p>
      <w:pPr>
        <w:ind w:firstLine="480"/>
      </w:pPr>
      <w:r>
        <w:rPr/>
        <w:t>（1）投标人在投标截止时间前放弃投标的，自所投采购包结果公告发出后5个工作日内退还。</w:t>
      </w:r>
    </w:p>
    <w:p>
      <w:pPr>
        <w:ind w:firstLine="480"/>
      </w:pPr>
      <w:r>
        <w:rPr/>
        <w:t>（2）未中标的投标人投标保证金，自中标通知书发出之日起5个工作日内退还。</w:t>
      </w:r>
    </w:p>
    <w:p>
      <w:pPr>
        <w:ind w:firstLine="480"/>
      </w:pPr>
      <w:r>
        <w:rPr/>
        <w:t>（3）中标供应商的投标保证金，自政府采购合同签订之日起5个工作日内退还。</w:t>
      </w:r>
    </w:p>
    <w:p>
      <w:pPr>
        <w:ind w:firstLine="480"/>
      </w:pPr>
      <w:r>
        <w:rPr/>
        <w:t>备注：但因投标人自身原因导致无法及时退还的除外。</w:t>
      </w:r>
    </w:p>
    <w:p>
      <w:pPr>
        <w:ind w:firstLine="480"/>
      </w:pPr>
      <w:r>
        <w:rPr/>
        <w:t>6.3有下列情形之一的，投标保证金将不予退还：</w:t>
      </w:r>
    </w:p>
    <w:p>
      <w:pPr>
        <w:ind w:firstLine="480"/>
      </w:pPr>
      <w:r>
        <w:rPr/>
        <w:t>（1）提供虚假材料谋取中标、成交的；</w:t>
      </w:r>
    </w:p>
    <w:p>
      <w:pPr>
        <w:ind w:firstLine="480"/>
      </w:pPr>
      <w:r>
        <w:rPr/>
        <w:t>（2）投标人在招标文件规定的投标有效期内撤销其投标；</w:t>
      </w:r>
    </w:p>
    <w:p>
      <w:pPr>
        <w:ind w:firstLine="480"/>
      </w:pPr>
      <w:r>
        <w:rPr/>
        <w:t>（3）中标后，无正当理由放弃中标资格；</w:t>
      </w:r>
    </w:p>
    <w:p>
      <w:pPr>
        <w:ind w:firstLine="480"/>
      </w:pPr>
      <w:r>
        <w:rPr/>
        <w:t>（4）中标后，无正当理由不与采购人签订合同；</w:t>
      </w:r>
    </w:p>
    <w:p>
      <w:pPr>
        <w:ind w:firstLine="480"/>
      </w:pPr>
      <w:r>
        <w:rPr/>
        <w:t>（5）法律法规和招标文件规定的其他情形。</w:t>
      </w:r>
    </w:p>
    <w:p>
      <w:r>
        <w:rPr>
          <w:b/>
          <w:sz w:val="24"/>
        </w:rPr>
        <w:t>7.投标有效期</w:t>
      </w:r>
    </w:p>
    <w:p>
      <w:pPr>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r>
        <w:rPr>
          <w:b/>
          <w:sz w:val="24"/>
        </w:rPr>
        <w:t>8.样品（演示）</w:t>
      </w:r>
    </w:p>
    <w:p>
      <w:pPr>
        <w:ind w:firstLine="480"/>
      </w:pPr>
      <w:r>
        <w:rPr/>
        <w:t>8.1招标文件规定投标人提交样品的，样品属于投标文件的组成部分。样品的生产、运输、安装、保全等一切费用由投标人自理。</w:t>
      </w:r>
    </w:p>
    <w:p>
      <w:pPr>
        <w:ind w:firstLine="480"/>
      </w:pPr>
      <w:r>
        <w:rPr/>
        <w:t>8.2投标截止时间前，投标人应将样品送达至指定地点。若需要现场演示的，投标人应提前做好演示准备（包括演示设备）。</w:t>
      </w:r>
    </w:p>
    <w:p>
      <w:pPr>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r>
        <w:rPr>
          <w:b/>
          <w:sz w:val="24"/>
        </w:rPr>
        <w:t>9.除招标文件另有规定外，有下列情形之一的，投标无效：</w:t>
      </w:r>
    </w:p>
    <w:p>
      <w:pPr>
        <w:ind w:firstLine="480"/>
      </w:pPr>
      <w:r>
        <w:rPr/>
        <w:t>9.1投标文件未按照招标文件要求签署、盖章；</w:t>
      </w:r>
    </w:p>
    <w:p>
      <w:pPr>
        <w:ind w:firstLine="480"/>
      </w:pPr>
      <w:r>
        <w:rPr/>
        <w:t>9.2不符合招标文件中规定的资格要求；</w:t>
      </w:r>
    </w:p>
    <w:p>
      <w:pPr>
        <w:ind w:firstLine="480"/>
      </w:pPr>
      <w:r>
        <w:rPr/>
        <w:t>9.3投标报价超过招标文件中规定的预算金额或最高限价；</w:t>
      </w:r>
    </w:p>
    <w:p>
      <w:pPr>
        <w:ind w:firstLine="480"/>
      </w:pPr>
      <w:r>
        <w:rPr/>
        <w:t>9.4投标文件含有采购人不能接受的附加条件；</w:t>
      </w:r>
    </w:p>
    <w:p>
      <w:pPr>
        <w:ind w:firstLine="480"/>
      </w:pPr>
      <w:r>
        <w:rPr/>
        <w:t>9.5有关法律、法规和规章及招标文件规定的其他无效情形。</w:t>
      </w:r>
    </w:p>
    <w:p>
      <w:r>
        <w:rPr>
          <w:b/>
          <w:sz w:val="28"/>
        </w:rPr>
        <w:t>六、开标、评标和定标</w:t>
      </w:r>
    </w:p>
    <w:p>
      <w:r>
        <w:rPr>
          <w:b/>
          <w:sz w:val="24"/>
        </w:rPr>
        <w:t>1.开标</w:t>
      </w:r>
    </w:p>
    <w:p>
      <w:pPr>
        <w:ind w:firstLine="480"/>
      </w:pPr>
      <w:r>
        <w:rPr/>
        <w:t>1.1 开标程序</w:t>
      </w:r>
    </w:p>
    <w:p>
      <w:pPr>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ind w:firstLine="480"/>
      </w:pPr>
      <w:r>
        <w:rPr/>
        <w:t>1.2开标异议</w:t>
      </w:r>
    </w:p>
    <w:p>
      <w:pPr>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ind w:firstLine="480"/>
      </w:pPr>
      <w:r>
        <w:rPr/>
        <w:t>1.3 投标截止时间后，投标人不足须知前附表中约定的有效供应商家数的，不得开标。同时，本次采购活动结束。</w:t>
      </w:r>
    </w:p>
    <w:p>
      <w:pPr>
        <w:ind w:firstLine="480"/>
      </w:pPr>
      <w:r>
        <w:rPr/>
        <w:t>1.4开标时出现下列情况的，视为投标无效处理：</w:t>
      </w:r>
    </w:p>
    <w:p>
      <w:pPr>
        <w:ind w:firstLine="480"/>
      </w:pPr>
      <w:r>
        <w:rPr/>
        <w:t>（1）经检查数字证书无效的；</w:t>
      </w:r>
    </w:p>
    <w:p>
      <w:pPr>
        <w:ind w:firstLine="480"/>
      </w:pPr>
      <w:r>
        <w:rPr/>
        <w:t>（2）因投标人自身原因，未在规定时间内完成电子投标文件解密的；</w:t>
      </w:r>
    </w:p>
    <w:p>
      <w:pPr>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r>
        <w:rPr>
          <w:b/>
          <w:sz w:val="24"/>
        </w:rPr>
        <w:t>2.评审（详见第四章）</w:t>
      </w:r>
    </w:p>
    <w:p>
      <w:r>
        <w:rPr>
          <w:b/>
          <w:sz w:val="24"/>
        </w:rPr>
        <w:t>3.定标</w:t>
      </w:r>
    </w:p>
    <w:p>
      <w:pPr>
        <w:ind w:firstLine="480"/>
      </w:pPr>
      <w:r>
        <w:rPr/>
        <w:t>3.1中标公告：</w:t>
      </w:r>
    </w:p>
    <w:p>
      <w:pPr>
        <w:ind w:firstLine="480"/>
      </w:pPr>
      <w:r>
        <w:rPr/>
        <w:t>中标供应商确定之日起2个工作日内，</w:t>
        <w:tab/>
        <w:tab/>
        <w:t xml:space="preserve"> 采购人或采购代理机构将在中国政府采购网(www.ccgp.gov.cn)、广东省政府采购网(https://gdgpo.czt.gd.gov.cn/)上以公告的形式发布中标结果，中标公告的公告期限为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ind w:firstLine="480"/>
      </w:pPr>
      <w:r>
        <w:rPr/>
        <w:t>3.2中标通知书：</w:t>
      </w:r>
    </w:p>
    <w:p>
      <w:pPr>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ind w:firstLine="480"/>
      </w:pPr>
      <w:r>
        <w:rPr/>
        <w:t>3.3终止公告：</w:t>
      </w:r>
    </w:p>
    <w:p>
      <w:pPr>
        <w:ind w:firstLine="480"/>
      </w:pPr>
      <w:r>
        <w:rPr/>
        <w:t>项目废标后，采购人或采购代理机构将在中国政府采购网(www.ccgp.gov.cn)、广东省政府采购网(https://gdgpo.czt.gd.gov.cn/)、上发布终止公告，终止公告的公告期限为1个工作日。</w:t>
      </w:r>
    </w:p>
    <w:p>
      <w:r>
        <w:rPr>
          <w:b/>
          <w:sz w:val="28"/>
        </w:rPr>
        <w:t>七、询问、质疑与投诉</w:t>
      </w:r>
    </w:p>
    <w:p>
      <w:r>
        <w:rPr>
          <w:b/>
          <w:sz w:val="24"/>
        </w:rPr>
        <w:t>1.询问</w:t>
      </w:r>
    </w:p>
    <w:p>
      <w:pPr>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r>
        <w:rPr>
          <w:b/>
          <w:sz w:val="24"/>
        </w:rPr>
        <w:t>2.质疑</w:t>
      </w:r>
    </w:p>
    <w:p>
      <w:pPr>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(1)对招标文件提出质疑的，为获取招标文件之日或者招标文件公告期限届满之日；</w:t>
      </w:r>
    </w:p>
    <w:p>
      <w:pPr>
        <w:ind w:firstLine="480"/>
      </w:pPr>
      <w:r>
        <w:rPr/>
        <w:t>(2)对采购过程提出质疑的，为各采购程序环节结束之日；</w:t>
      </w:r>
    </w:p>
    <w:p>
      <w:pPr>
        <w:ind w:firstLine="480"/>
      </w:pPr>
      <w:r>
        <w:rPr/>
        <w:t>(3)对中标结果提出质疑的，为中标结果公告期限届满之日。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(3)认为采购文件、采购过程、中标和成交结果使自己的合法权益受到损害的法律依据、事实依据、相关证明材料及证据来源；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俞女士</w:t>
      </w:r>
    </w:p>
    <w:p>
      <w:pPr>
        <w:ind w:firstLine="480"/>
      </w:pPr>
      <w:r>
        <w:rPr/>
        <w:t>电话：</w:t>
      </w:r>
      <w:r>
        <w:rPr/>
        <w:t>0762-3369599</w:t>
      </w:r>
    </w:p>
    <w:p>
      <w:pPr>
        <w:ind w:firstLine="480"/>
      </w:pPr>
      <w:r>
        <w:rPr/>
        <w:t>传真：</w:t>
      </w:r>
      <w:r>
        <w:rPr/>
        <w:t>0762-3369599</w:t>
      </w:r>
    </w:p>
    <w:p>
      <w:pPr>
        <w:ind w:firstLine="480"/>
      </w:pPr>
      <w:r>
        <w:rPr/>
        <w:t>邮箱：</w:t>
      </w:r>
      <w:r>
        <w:rPr/>
        <w:t>HYSHY12@163.com</w:t>
      </w:r>
    </w:p>
    <w:p>
      <w:pPr>
        <w:ind w:firstLine="480"/>
      </w:pPr>
      <w:r>
        <w:rPr/>
        <w:t>地址：</w:t>
      </w:r>
      <w:r>
        <w:rPr/>
        <w:t>河源市新市区长安街北边文昌路东面新河·世纪广场2101（即凯里亚德酒店万隆店）</w:t>
      </w:r>
    </w:p>
    <w:p>
      <w:pPr>
        <w:ind w:firstLine="480"/>
      </w:pPr>
      <w:r>
        <w:rPr/>
        <w:t>邮编：</w:t>
      </w:r>
      <w:r>
        <w:rPr/>
        <w:t>517000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政府采购监督管理机构名称：紫金县政府采购管理办公室</w:t>
      </w:r>
    </w:p>
    <w:p>
      <w:r>
        <w:rPr/>
        <w:t>地  址：河源市紫金县城长安大道西13号</w:t>
      </w:r>
    </w:p>
    <w:p>
      <w:r>
        <w:rPr/>
        <w:t>电  话：0762-7818393</w:t>
      </w:r>
    </w:p>
    <w:p>
      <w:r>
        <w:rPr/>
        <w:t>邮  编：517400</w:t>
      </w:r>
    </w:p>
    <w:p>
      <w:r>
        <w:rPr/>
        <w:t>传  真：0762-7818393</w:t>
      </w:r>
    </w:p>
    <w:p/>
    <w:p>
      <w:r>
        <w:rPr>
          <w:b/>
          <w:sz w:val="28"/>
        </w:rPr>
        <w:t>八、合同签订和履行</w:t>
      </w:r>
    </w:p>
    <w:p>
      <w:r>
        <w:rPr>
          <w:b/>
          <w:sz w:val="24"/>
        </w:rPr>
        <w:t>1.合同签订</w:t>
      </w:r>
    </w:p>
    <w:p>
      <w:pPr>
        <w:ind w:firstLine="480"/>
      </w:pPr>
      <w:r>
        <w:rPr/>
        <w:t>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1.2采购人不得提出试用合格等任何不合理的要求作为签订合同的条件，且不得与中标供应商私下订立背离合同实质性内容的协议。</w:t>
      </w:r>
    </w:p>
    <w:p>
      <w:pPr>
        <w:ind w:firstLine="480"/>
      </w:pPr>
      <w:r>
        <w:rPr/>
        <w:t>1.3合同条款中应规定，乙方完全遵守《中华人民共和国劳动合同法》有关规定和《中华人民共和国妇女权益保障法》中关于“劳动和社会保障权益”的有关要求。</w:t>
      </w:r>
    </w:p>
    <w:p>
      <w:pPr>
        <w:ind w:firstLine="480"/>
      </w:pPr>
      <w:r>
        <w:rPr/>
        <w:t>1.4采购人应当自政府采购合同签订之日起2个工作日内，将政府采购合同在省级以上人民政府财政部门指定的媒体上公告，但政府采购合同中涉及国家秘密、商业秘密的内容除外。</w:t>
      </w:r>
    </w:p>
    <w:p>
      <w:pPr>
        <w:ind w:firstLine="480"/>
      </w:pPr>
      <w:r>
        <w:rPr/>
        <w:t>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评标</w:t>
      </w:r>
    </w:p>
    <w:p>
      <w:r>
        <w:rPr>
          <w:b/>
          <w:sz w:val="28"/>
        </w:rPr>
        <w:t>一、评标要求</w:t>
      </w:r>
    </w:p>
    <w:p>
      <w:r>
        <w:rPr>
          <w:b/>
          <w:sz w:val="24"/>
        </w:rPr>
        <w:t>1.评标方法</w:t>
      </w:r>
    </w:p>
    <w:p>
      <w:pPr>
        <w:ind w:firstLine="480"/>
      </w:pPr>
    </w:p>
    <w:p/>
    <w:p>
      <w:r>
        <w:rPr/>
        <w:t>采购包1(紫金县平安乡村智慧视频项目)：综合评分法,是指投标文件满足招标文件全部实质性要求，且按照评审因素的量化指标评审得分最高的投标人为中标候选人的评标方法。（最低报价不是中标的唯一依据。）</w:t>
      </w:r>
    </w:p>
    <w:p/>
    <w:p>
      <w:r>
        <w:rPr>
          <w:b/>
          <w:sz w:val="24"/>
        </w:rPr>
        <w:t>2.评标原则</w:t>
      </w:r>
    </w:p>
    <w:p>
      <w:pPr>
        <w:ind w:firstLine="480"/>
      </w:pPr>
      <w:r>
        <w:rPr/>
        <w:t>2.1评标活动遵循公平、公正、科学和择优的原则，以招标文件和投标文件为评标的基本依据，并按照招标文件规定的评标方法和评标标准进行评标。</w:t>
      </w:r>
    </w:p>
    <w:p>
      <w:pPr>
        <w:ind w:firstLine="480"/>
      </w:pPr>
      <w:r>
        <w:rPr/>
        <w:t>2.2具体评标事项由评标委员会负责，并按招标文件的规定办法进行评审。</w:t>
      </w:r>
    </w:p>
    <w:p>
      <w:pPr>
        <w:ind w:firstLine="480"/>
      </w:pPr>
      <w:r>
        <w:rPr/>
        <w:t>2.3合格投标人不足须知前附表中约定的有效供应商家数的，不得评标。</w:t>
      </w:r>
    </w:p>
    <w:p>
      <w:r>
        <w:rPr>
          <w:b/>
          <w:sz w:val="24"/>
        </w:rPr>
        <w:t>3.评标委员会</w:t>
      </w:r>
    </w:p>
    <w:p>
      <w:pPr>
        <w:ind w:firstLine="480"/>
      </w:pPr>
      <w:r>
        <w:rPr/>
        <w:t>3.1评标委员会由采购人代表和评审专家组成，成员人数应当为5人及以上单数，其中评审专家不得少于成员总数的三分之二。</w:t>
      </w:r>
    </w:p>
    <w:p>
      <w:pPr>
        <w:ind w:firstLine="480"/>
      </w:pPr>
      <w:r>
        <w:rPr/>
        <w:t>3.2评标应遵守下列评标纪律：</w:t>
      </w:r>
    </w:p>
    <w:p>
      <w:pPr>
        <w:ind w:firstLine="480"/>
      </w:pPr>
      <w:r>
        <w:rPr/>
        <w:t>（1）评标情况不得私自外泄，有关信息由</w:t>
      </w:r>
      <w:r>
        <w:rPr/>
        <w:t>广东省华屹项目管理有限公司</w:t>
      </w:r>
      <w:r>
        <w:rPr/>
        <w:t>统一对外发布。</w:t>
      </w:r>
    </w:p>
    <w:p>
      <w:pPr>
        <w:ind w:firstLine="480"/>
      </w:pPr>
      <w:r>
        <w:rPr/>
        <w:t>（2）对</w:t>
      </w:r>
      <w:r>
        <w:rPr/>
        <w:t>广东省华屹项目管理有限公司</w:t>
      </w:r>
      <w:r>
        <w:rPr/>
        <w:t>或投标人提供的要求保密的资料，不得摘记翻印和外传。</w:t>
      </w:r>
    </w:p>
    <w:p>
      <w:pPr>
        <w:ind w:firstLine="480"/>
      </w:pPr>
      <w:r>
        <w:rPr/>
        <w:t>（3）不得收受投标供应商或有关人员的任何礼物，不得串联鼓动其他人袒护某投标人。若与投标人存在利害关系，则应主动声明并回避。</w:t>
      </w:r>
    </w:p>
    <w:p>
      <w:pPr>
        <w:ind w:firstLine="480"/>
      </w:pPr>
      <w:r>
        <w:rPr/>
        <w:t>（4）全体评委应按照招标文件规定进行评标，一切认定事项应查有实据且不得弄虚作假。</w:t>
      </w:r>
    </w:p>
    <w:p>
      <w:pPr>
        <w:ind w:firstLine="480"/>
      </w:pPr>
      <w:r>
        <w:rPr/>
        <w:t>（5）评标委员会各成员应当独立对每个投标人的投标文件进行评价，并对评价意见承担个人责任。评审过程中，不得发表倾向性言论。</w:t>
      </w:r>
    </w:p>
    <w:p>
      <w:pPr>
        <w:ind w:firstLine="480"/>
      </w:pPr>
      <w:r>
        <w:rPr/>
        <w:t>※对违反评标纪律的评委，将取消其评委资格，对评标工作造成严重损失者将予以通报批评乃至追究法律责任。</w:t>
      </w:r>
    </w:p>
    <w:p>
      <w:r>
        <w:rPr>
          <w:b/>
          <w:sz w:val="24"/>
        </w:rPr>
        <w:t>4.有下列情形之一的，视为投标人串通投标，其投标无效；</w:t>
      </w:r>
    </w:p>
    <w:p>
      <w:pPr>
        <w:ind w:firstLine="480"/>
      </w:pPr>
      <w:r>
        <w:rPr/>
        <w:t>4.1不同投标人的投标文件由同一单位或者个人编制；</w:t>
      </w:r>
    </w:p>
    <w:p>
      <w:pPr>
        <w:ind w:firstLine="480"/>
      </w:pPr>
      <w:r>
        <w:rPr/>
        <w:t>4.2不同投标人委托同一单位或者个人办理投标事宜；</w:t>
      </w:r>
    </w:p>
    <w:p>
      <w:pPr>
        <w:ind w:firstLine="480"/>
      </w:pPr>
      <w:r>
        <w:rPr/>
        <w:t>4.3不同投标人的投标文件载明的项目管理成员或者联系人员为同一人；</w:t>
      </w:r>
    </w:p>
    <w:p>
      <w:pPr>
        <w:ind w:firstLine="480"/>
      </w:pPr>
      <w:r>
        <w:rPr/>
        <w:t>4.4不同投标人的投标文件异常一致或者投标报价呈规律性差异；</w:t>
      </w:r>
    </w:p>
    <w:p>
      <w:pPr>
        <w:ind w:firstLine="480"/>
      </w:pPr>
      <w:r>
        <w:rPr/>
        <w:t>4.5不同投标人的投标文件相互混装；</w:t>
      </w:r>
    </w:p>
    <w:p>
      <w:pPr>
        <w:ind w:firstLine="480"/>
      </w:pPr>
      <w:r>
        <w:rPr/>
        <w:t>4.6不同投标人的投标保证金或购买电子保函支付款为从同一单位或个人的账户转出；</w:t>
      </w:r>
    </w:p>
    <w:p>
      <w:pPr>
        <w:ind w:firstLine="480"/>
      </w:pPr>
      <w:r>
        <w:rPr/>
        <w:t>4.7投标人上传的电子投标文件使用该项目其他投标人的数字证书加密的或加盖该项目的其他投标人的电子印章的。</w:t>
      </w:r>
    </w:p>
    <w:p>
      <w:pPr>
        <w:ind w:firstLine="480"/>
      </w:pPr>
      <w:r>
        <w:rPr/>
        <w:t xml:space="preserve"> 说明：在评标过程中发现投标人有上述情形的，评标委员会应当认定其投标无效。同时，项目评审时被认定为串通投标的投标人不得参加该合同项下的采购活动。</w:t>
      </w:r>
    </w:p>
    <w:p>
      <w:r>
        <w:rPr>
          <w:b/>
          <w:sz w:val="24"/>
        </w:rPr>
        <w:t>5.投标无效的情形</w:t>
      </w:r>
    </w:p>
    <w:p>
      <w:pPr>
        <w:ind w:firstLine="480"/>
      </w:pPr>
      <w:r>
        <w:rPr/>
        <w:t>详见资格性审查、符合性审查和招标文件其他投标无效条款。</w:t>
      </w:r>
    </w:p>
    <w:p>
      <w:r>
        <w:rPr>
          <w:b/>
          <w:sz w:val="24"/>
        </w:rPr>
        <w:t>6.定标</w:t>
      </w:r>
    </w:p>
    <w:p>
      <w:pPr>
        <w:ind w:firstLine="480"/>
      </w:pPr>
      <w:r>
        <w:rPr/>
        <w:t>评标委员会按照招标文件确定的评标方法、步骤、标准，对投标文件进行评审。评标结束后，对投标人的评审名次进行排序，确定中标供应商或者推荐中标候选人。</w:t>
      </w:r>
    </w:p>
    <w:p>
      <w:r>
        <w:rPr>
          <w:b/>
          <w:sz w:val="24"/>
        </w:rPr>
        <w:t>7.价格修正</w:t>
      </w:r>
    </w:p>
    <w:p>
      <w:pPr>
        <w:ind w:firstLine="480"/>
      </w:pPr>
      <w:r>
        <w:rPr/>
        <w:t>对报价的计算错误按以下原则修正：</w:t>
      </w:r>
    </w:p>
    <w:p>
      <w:pPr>
        <w:ind w:firstLine="480"/>
      </w:pPr>
      <w:r>
        <w:rPr/>
        <w:t>（1）投标文件中开标一览表内容与投标文件中相应内容不一致的，以开标一览表为准；</w:t>
      </w:r>
    </w:p>
    <w:p>
      <w:pPr>
        <w:ind w:firstLine="480"/>
      </w:pPr>
      <w:r>
        <w:rPr/>
        <w:t>（2）大写金额和小写金额不一致的，以大写金额为准；</w:t>
      </w:r>
    </w:p>
    <w:p>
      <w:pPr>
        <w:ind w:firstLine="480"/>
      </w:pPr>
      <w:r>
        <w:rPr/>
        <w:t>（3）单价金额小数点或者百分比有明显错位的，以开标一览表的总价为准，并修改单价。</w:t>
      </w:r>
    </w:p>
    <w:p>
      <w:pPr>
        <w:ind w:firstLine="480"/>
      </w:pPr>
      <w:r>
        <w:rPr/>
        <w:t>（4）总价金额与按单价汇总金额不一致的，以单价金额计算结果为准。但是单价金额计算结果超过预算价的，对其按无效投标处理。</w:t>
      </w:r>
    </w:p>
    <w:p>
      <w:pPr>
        <w:ind w:firstLine="480"/>
      </w:pPr>
      <w:r>
        <w:rPr/>
        <w:t>（5）若投标客户端上传的电子报价数据与电子投标文件价格不一致的，以电子报价数据为准。</w:t>
      </w:r>
    </w:p>
    <w:p>
      <w:pPr>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采购包1（紫金县平安乡村智慧视频项目）：</w:t>
      </w:r>
    </w:p>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服务由小微企业承接</w:t>
            </w:r>
          </w:p>
        </w:tc>
        <w:tc>
          <w:tcPr>
            <w:tcW w:type="dxa" w:w="1246"/>
          </w:tcPr>
          <w:p>
            <w:r>
              <w:rPr/>
              <w:t>10%</w:t>
            </w:r>
          </w:p>
        </w:tc>
        <w:tc>
          <w:tcPr>
            <w:tcW w:type="dxa" w:w="2160"/>
          </w:tcPr>
          <w:p>
            <w:pPr>
              <w:jc w:val="left"/>
            </w:pPr>
            <w:r>
              <w:rPr/>
              <w:t>服务由小微企业承接，即提供服务的人员为小微企业依照《中华人民共和国劳动合同法》订立劳动合同的从业人员时，给予价格扣除C1，即：评标价=投标报价×（1-C1）;监狱企业与残疾人福利性单位视同小型、微型企业，享受同等价格扣除，当企业属性重复时，不重复价格扣除。</w:t>
            </w:r>
          </w:p>
        </w:tc>
      </w:tr>
      <w:tr>
        <w:tc>
          <w:tcPr>
            <w:tcW w:type="dxa" w:w="581"/>
          </w:tcPr>
          <w:p>
            <w:r>
              <w:rPr/>
              <w:t>2</w:t>
            </w:r>
          </w:p>
        </w:tc>
        <w:tc>
          <w:tcPr>
            <w:tcW w:type="dxa" w:w="2160"/>
          </w:tcPr>
          <w:p>
            <w:pPr>
              <w:jc w:val="left"/>
            </w:pPr>
            <w:r>
              <w:rPr/>
              <w:t>节能、环保产品</w:t>
            </w:r>
          </w:p>
        </w:tc>
        <w:tc>
          <w:tcPr>
            <w:tcW w:type="dxa" w:w="2160"/>
          </w:tcPr>
          <w:p>
            <w:r>
              <w:rPr/>
              <w:t>——</w:t>
            </w:r>
          </w:p>
        </w:tc>
        <w:tc>
          <w:tcPr>
            <w:tcW w:type="dxa" w:w="1246"/>
          </w:tcPr>
          <w:p>
            <w:r>
              <w:rPr/>
              <w:t>2%</w:t>
            </w:r>
          </w:p>
        </w:tc>
        <w:tc>
          <w:tcPr>
            <w:tcW w:type="dxa" w:w="2160"/>
          </w:tcPr>
          <w:p>
            <w:pPr>
              <w:jc w:val="left"/>
            </w:pPr>
            <w:r>
              <w:rPr/>
              <w:t>对获得节能产品认证证书或环境标志产品认证证书的产品给予1%-5%的价格扣除，具体扣除比例根据节能产品或环境标志产品在采购项目中的重要性、所占比重等因素确定。</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ind w:firstLine="480"/>
      </w:pPr>
      <w:r>
        <w:rPr/>
        <w:t>说明：投标人应当对其出具的《中小企业声明函》真实性负责，投标人出具的《中小企业声明函》内容不实的，属于提供虚假材料谋取中标。</w:t>
      </w:r>
    </w:p>
    <w:p>
      <w:pPr>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8"/>
        </w:rPr>
        <w:t>三、评审程序</w:t>
      </w:r>
    </w:p>
    <w:p>
      <w:r>
        <w:rPr>
          <w:b/>
          <w:sz w:val="24"/>
        </w:rPr>
        <w:t>1.资格性审查和符合性审查</w:t>
      </w:r>
    </w:p>
    <w:p>
      <w:pPr>
        <w:ind w:firstLine="480"/>
      </w:pPr>
      <w:r>
        <w:rPr/>
        <w:t>资格性审查。公开招标采购项目开标结束后，采购人或采购代理机构应当依法对投标人的资格进行审查，以确定投标人是否具备投标资格。（详见后附表一资格性审查表）</w:t>
      </w:r>
    </w:p>
    <w:p>
      <w:pPr>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ind w:firstLine="480"/>
      </w:pPr>
      <w:r>
        <w:rPr/>
        <w:t>资格性审查和符合性审查中凡有其中任意一项未通过的，评审结果为未通过，未通过资格性审查、符合性审查的投标人按无效投标处理。</w:t>
      </w:r>
    </w:p>
    <w:p>
      <w:pPr>
        <w:ind w:firstLine="480"/>
      </w:pPr>
      <w:r>
        <w:rPr/>
        <w:t>对各投标人进行资格审查和符合性审查过程中，对初步被认定为无效投标者，由评标委员会组长或采购人代表将集体意见及时告知投标当事人。</w:t>
      </w:r>
    </w:p>
    <w:p>
      <w:pPr>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ind w:firstLine="480"/>
      </w:pPr>
      <w:r>
        <w:rPr/>
        <w:t>合格投标人不足3家的，不得评标。</w:t>
      </w:r>
    </w:p>
    <w:p>
      <w:pPr>
        <w:ind w:firstLine="480"/>
      </w:pPr>
      <w:r>
        <w:rPr/>
        <w:t>表一资格性审查表：</w:t>
      </w:r>
    </w:p>
    <w:p>
      <w:pPr>
        <w:ind w:firstLine="480"/>
      </w:pPr>
    </w:p>
    <w:p/>
    <w:p>
      <w:r>
        <w:rPr/>
        <w:t>采购包1（紫金县平安乡村智慧视频项目）：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具有独立承担民事责任能力的法人或其他组织。投标时提交有效的营业执照（或事业法人登记证等相关证明）副本复印件。分支机构投标的，须取得具有法人资格的总公司出具给分支机构的授权书，并提供总公司和分公司营业执照复印件。已由总公司授权的，总公司取得的相关资质证书对分支机构有效，法律法规或者行业另有规定的除外。</w:t>
            </w:r>
          </w:p>
        </w:tc>
      </w:tr>
      <w:tr>
        <w:tc>
          <w:tcPr>
            <w:tcW w:type="dxa" w:w="890"/>
          </w:tcPr>
          <w:p>
            <w:r>
              <w:rPr/>
              <w:t>2</w:t>
            </w:r>
          </w:p>
        </w:tc>
        <w:tc>
          <w:tcPr>
            <w:tcW w:type="dxa" w:w="3178"/>
          </w:tcPr>
          <w:p>
            <w:r>
              <w:rPr/>
              <w:t>具有良好的商业信誉和健全的财务会计制度</w:t>
            </w:r>
          </w:p>
        </w:tc>
        <w:tc>
          <w:tcPr>
            <w:tcW w:type="dxa" w:w="4238"/>
          </w:tcPr>
          <w:p>
            <w:r>
              <w:rPr/>
              <w:t>提供2022年度财务报表或2023年以来任意一月财务报表或基本开户行出具的资信证明。若供应商新注册的，则提供成立至今的月或季度财务状况报表。</w:t>
            </w:r>
          </w:p>
        </w:tc>
      </w:tr>
      <w:tr>
        <w:tc>
          <w:tcPr>
            <w:tcW w:type="dxa" w:w="890"/>
          </w:tcPr>
          <w:p>
            <w:r>
              <w:rPr/>
              <w:t>3</w:t>
            </w:r>
          </w:p>
        </w:tc>
        <w:tc>
          <w:tcPr>
            <w:tcW w:type="dxa" w:w="3178"/>
          </w:tcPr>
          <w:p>
            <w:r>
              <w:rPr/>
              <w:t>履行合同所必需的设备和专业技术能力</w:t>
            </w:r>
          </w:p>
        </w:tc>
        <w:tc>
          <w:tcPr>
            <w:tcW w:type="dxa" w:w="4238"/>
          </w:tcPr>
          <w:p>
            <w:r>
              <w:rPr/>
              <w:t>提供具备履行合同所必需的设备和专业技术能力的承诺函。</w:t>
            </w:r>
          </w:p>
        </w:tc>
      </w:tr>
      <w:tr>
        <w:tc>
          <w:tcPr>
            <w:tcW w:type="dxa" w:w="890"/>
          </w:tcPr>
          <w:p>
            <w:r>
              <w:rPr/>
              <w:t>4</w:t>
            </w:r>
          </w:p>
        </w:tc>
        <w:tc>
          <w:tcPr>
            <w:tcW w:type="dxa" w:w="3178"/>
          </w:tcPr>
          <w:p>
            <w:r>
              <w:rPr/>
              <w:t>有依法缴纳税收和社会保障资金的良好记录</w:t>
            </w:r>
          </w:p>
        </w:tc>
        <w:tc>
          <w:tcPr>
            <w:tcW w:type="dxa" w:w="4238"/>
          </w:tcPr>
          <w:p>
            <w:r>
              <w:rPr/>
              <w:t>提供投标截止日前6个月内任意1个月依法缴纳税收和社会保障资金的相关材料，如依法免税或不需要缴纳社会保障资金的，应提供相应文件证明。</w:t>
            </w:r>
          </w:p>
        </w:tc>
      </w:tr>
      <w:tr>
        <w:tc>
          <w:tcPr>
            <w:tcW w:type="dxa" w:w="890"/>
          </w:tcPr>
          <w:p>
            <w:r>
              <w:rPr/>
              <w:t>5</w:t>
            </w:r>
          </w:p>
        </w:tc>
        <w:tc>
          <w:tcPr>
            <w:tcW w:type="dxa" w:w="3178"/>
          </w:tcPr>
          <w:p>
            <w:r>
              <w:rPr/>
              <w:t>参加采购活动前3年内，在经营活动中没有重大违法记录</w:t>
            </w:r>
          </w:p>
        </w:tc>
        <w:tc>
          <w:tcPr>
            <w:tcW w:type="dxa" w:w="4238"/>
          </w:tcPr>
          <w:p>
            <w:r>
              <w:rPr/>
              <w:t>参加采购活动前3年内，在经营活动中没有重大违法记录：提供书面声明。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供应商必须符合法律、行政法规规定的其他条件</w:t>
            </w:r>
          </w:p>
        </w:tc>
        <w:tc>
          <w:tcPr>
            <w:tcW w:type="dxa" w:w="4238"/>
          </w:tcPr>
          <w:p>
            <w:r>
              <w:rPr/>
              <w:t>单位负责人为同一人或者存在直接控股、管理关系的不同供应商，不得参加同一合同项下的政府采购活动(投标人出具声明函)；为采购项目提供整体设计、规范编制或者项目管理、监理、检测等服务的供应商，不得再参加该采购项目的其他采购活动(投标人出具声明函)。</w:t>
            </w:r>
          </w:p>
        </w:tc>
      </w:tr>
      <w:tr>
        <w:tc>
          <w:tcPr>
            <w:tcW w:type="dxa" w:w="890"/>
          </w:tcPr>
          <w:p>
            <w:r>
              <w:rPr/>
              <w:t>7</w:t>
            </w:r>
          </w:p>
        </w:tc>
        <w:tc>
          <w:tcPr>
            <w:tcW w:type="dxa" w:w="3178"/>
          </w:tcPr>
          <w:p>
            <w:r>
              <w:rPr/>
              <w:t>信用记录</w:t>
            </w:r>
          </w:p>
        </w:tc>
        <w:tc>
          <w:tcPr>
            <w:tcW w:type="dxa" w:w="4238"/>
          </w:tcPr>
          <w:p>
            <w:r>
              <w:rPr/>
              <w:t>投标人未被列入“中国执行信息公开网”（http://zxgk.court.gov.cn/shixin/）“失信被执行人”名单、“信用中国”网站（www.creditchina.gov.cn）“重大税收违法失信主体、政府采购严重违法失信行为记录名单”，没有处于“中国政府采购网”(www.ccgp.gov.cn)“政府采购严重违法失信行为信息记录”中的禁止参加政府采购活动期间。(以采购人或采购代理机构于投标(响应)文件递交截止日当天在“中国执行信息公开网”、“信用中国”网站及“中国政府采购网”查询结果为准，如相关记录已失效，投标人需提供相关证明资料)。</w:t>
            </w:r>
          </w:p>
        </w:tc>
      </w:tr>
      <w:tr>
        <w:tc>
          <w:tcPr>
            <w:tcW w:type="dxa" w:w="890"/>
          </w:tcPr>
          <w:p>
            <w:r>
              <w:rPr/>
              <w:t>8</w:t>
            </w:r>
          </w:p>
        </w:tc>
        <w:tc>
          <w:tcPr>
            <w:tcW w:type="dxa" w:w="3178"/>
          </w:tcPr>
          <w:p>
            <w:r>
              <w:rPr/>
              <w:t>投标人必须具有有效的省级或以上公安部门或行业协会颁发的叁级或以上《安全技术防范系统设计、施工、维修资格证》（非广东省公安厅颁发的，须提供已获得广东省公安厅备案资格的证明文件）。</w:t>
            </w:r>
          </w:p>
        </w:tc>
        <w:tc>
          <w:tcPr>
            <w:tcW w:type="dxa" w:w="4238"/>
          </w:tcPr>
          <w:p>
            <w:r>
              <w:rPr/>
              <w:t>投标人必须具有有效的省级或以上公安部门或行业协会颁发的叁级或以上《安全技术防范系统设计、施工、维修资格证》（非广东省公安厅颁发的，须提供已获得广东省公安厅备案资格的证明文件）。</w:t>
            </w:r>
          </w:p>
        </w:tc>
      </w:tr>
      <w:tr>
        <w:tc>
          <w:tcPr>
            <w:tcW w:type="dxa" w:w="890"/>
          </w:tcPr>
          <w:p>
            <w:r>
              <w:rPr/>
              <w:t>9</w:t>
            </w:r>
          </w:p>
        </w:tc>
        <w:tc>
          <w:tcPr>
            <w:tcW w:type="dxa" w:w="3178"/>
          </w:tcPr>
          <w:p>
            <w:r>
              <w:rPr/>
              <w:t>落实政府采购政策需满足的资格要求</w:t>
            </w:r>
          </w:p>
        </w:tc>
        <w:tc>
          <w:tcPr>
            <w:tcW w:type="dxa" w:w="4238"/>
          </w:tcPr>
          <w:p>
            <w:r>
              <w:rPr/>
              <w:t>无。</w:t>
            </w:r>
          </w:p>
        </w:tc>
      </w:tr>
    </w:tbl>
    <w:p/>
    <w:p>
      <w:pPr>
        <w:ind w:firstLine="480"/>
      </w:pPr>
      <w:r>
        <w:rPr/>
        <w:t>表二符合性审查表：</w:t>
      </w:r>
    </w:p>
    <w:p>
      <w:pPr>
        <w:ind w:firstLine="480"/>
      </w:pPr>
    </w:p>
    <w:p/>
    <w:p>
      <w:r>
        <w:rPr/>
        <w:t>采购包1（紫金县平安乡村智慧视频项目）：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关于保证金</w:t>
            </w:r>
          </w:p>
        </w:tc>
        <w:tc>
          <w:tcPr>
            <w:tcW w:type="dxa" w:w="4238"/>
          </w:tcPr>
          <w:p>
            <w:r>
              <w:rPr/>
              <w:t>保证金是否按规定足额提交</w:t>
            </w:r>
          </w:p>
        </w:tc>
      </w:tr>
      <w:tr>
        <w:tc>
          <w:tcPr>
            <w:tcW w:type="dxa" w:w="890"/>
          </w:tcPr>
          <w:p>
            <w:r>
              <w:rPr/>
              <w:t>2</w:t>
            </w:r>
          </w:p>
        </w:tc>
        <w:tc>
          <w:tcPr>
            <w:tcW w:type="dxa" w:w="3178"/>
          </w:tcPr>
          <w:p>
            <w:r>
              <w:rPr/>
              <w:t>关于投标有效期</w:t>
            </w:r>
          </w:p>
        </w:tc>
        <w:tc>
          <w:tcPr>
            <w:tcW w:type="dxa" w:w="4238"/>
          </w:tcPr>
          <w:p>
            <w:r>
              <w:rPr/>
              <w:t>投标有效期是否满足要求</w:t>
            </w:r>
          </w:p>
        </w:tc>
      </w:tr>
      <w:tr>
        <w:tc>
          <w:tcPr>
            <w:tcW w:type="dxa" w:w="890"/>
          </w:tcPr>
          <w:p>
            <w:r>
              <w:rPr/>
              <w:t>3</w:t>
            </w:r>
          </w:p>
        </w:tc>
        <w:tc>
          <w:tcPr>
            <w:tcW w:type="dxa" w:w="3178"/>
          </w:tcPr>
          <w:p>
            <w:r>
              <w:rPr/>
              <w:t>关于法人授权</w:t>
            </w:r>
          </w:p>
        </w:tc>
        <w:tc>
          <w:tcPr>
            <w:tcW w:type="dxa" w:w="4238"/>
          </w:tcPr>
          <w:p>
            <w:r>
              <w:rPr/>
              <w:t>投标文件签字人不是法定代表人的是否有法定代表人的有效授权</w:t>
            </w:r>
          </w:p>
        </w:tc>
      </w:tr>
      <w:tr>
        <w:tc>
          <w:tcPr>
            <w:tcW w:type="dxa" w:w="890"/>
          </w:tcPr>
          <w:p>
            <w:r>
              <w:rPr/>
              <w:t>4</w:t>
            </w:r>
          </w:p>
        </w:tc>
        <w:tc>
          <w:tcPr>
            <w:tcW w:type="dxa" w:w="3178"/>
          </w:tcPr>
          <w:p>
            <w:r>
              <w:rPr/>
              <w:t>关于样式、签署和盖章要求</w:t>
            </w:r>
          </w:p>
        </w:tc>
        <w:tc>
          <w:tcPr>
            <w:tcW w:type="dxa" w:w="4238"/>
          </w:tcPr>
          <w:p>
            <w:r>
              <w:rPr/>
              <w:t>投标文件是否符合公开招标文件的样式、签署和盖章要求</w:t>
            </w:r>
          </w:p>
        </w:tc>
      </w:tr>
      <w:tr>
        <w:tc>
          <w:tcPr>
            <w:tcW w:type="dxa" w:w="890"/>
          </w:tcPr>
          <w:p>
            <w:r>
              <w:rPr/>
              <w:t>5</w:t>
            </w:r>
          </w:p>
        </w:tc>
        <w:tc>
          <w:tcPr>
            <w:tcW w:type="dxa" w:w="3178"/>
          </w:tcPr>
          <w:p>
            <w:r>
              <w:rPr/>
              <w:t>关于报价要求</w:t>
            </w:r>
          </w:p>
        </w:tc>
        <w:tc>
          <w:tcPr>
            <w:tcW w:type="dxa" w:w="4238"/>
          </w:tcPr>
          <w:p>
            <w:r>
              <w:rPr/>
              <w:t>1.投标报价是固定不变价；2.投标报价符合招标文件的报价要求；3.投标报价没有超出采购预算。</w:t>
            </w:r>
          </w:p>
        </w:tc>
      </w:tr>
      <w:tr>
        <w:tc>
          <w:tcPr>
            <w:tcW w:type="dxa" w:w="890"/>
          </w:tcPr>
          <w:p>
            <w:r>
              <w:rPr/>
              <w:t>6</w:t>
            </w:r>
          </w:p>
        </w:tc>
        <w:tc>
          <w:tcPr>
            <w:tcW w:type="dxa" w:w="3178"/>
          </w:tcPr>
          <w:p>
            <w:r>
              <w:rPr/>
              <w:t>关于实质性响应要求</w:t>
            </w:r>
          </w:p>
        </w:tc>
        <w:tc>
          <w:tcPr>
            <w:tcW w:type="dxa" w:w="4238"/>
          </w:tcPr>
          <w:p>
            <w:r>
              <w:rPr/>
              <w:t>投标文件实质性响应招标文件要求，且无经评委认定为无效标的</w:t>
            </w:r>
          </w:p>
        </w:tc>
      </w:tr>
    </w:tbl>
    <w:p/>
    <w:p>
      <w:r>
        <w:rPr>
          <w:b/>
          <w:sz w:val="24"/>
        </w:rPr>
        <w:t>2.投标文件澄清</w:t>
      </w:r>
    </w:p>
    <w:p>
      <w:pPr>
        <w:ind w:firstLine="480"/>
      </w:pPr>
      <w:r>
        <w:rPr/>
        <w:t>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ind w:firstLine="480"/>
      </w:pPr>
      <w:r>
        <w:rPr/>
        <w:t>投标人需登录广东政府采购智慧云平台项目采购系统的等候大厅，在规定时间内完成澄清（响应），并加盖电子印章。</w:t>
      </w:r>
    </w:p>
    <w:p>
      <w:pPr>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ind w:firstLine="480"/>
      </w:pPr>
      <w:r>
        <w:rPr/>
        <w:t>2.2评标委员会不接受投标人主动提出的澄清、说明或补正。</w:t>
      </w:r>
    </w:p>
    <w:p>
      <w:pPr>
        <w:ind w:firstLine="480"/>
      </w:pPr>
      <w:r>
        <w:rPr/>
        <w:t>2.3评标委员会对投标人提交的澄清、说明或补正有疑问的，可以要求投标人进一步澄清、说明或补正。</w:t>
      </w:r>
    </w:p>
    <w:p>
      <w:r>
        <w:rPr>
          <w:b/>
          <w:sz w:val="24"/>
        </w:rPr>
        <w:t>3.详细评审</w:t>
      </w:r>
    </w:p>
    <w:p>
      <w:pPr>
        <w:ind w:firstLine="480"/>
      </w:pPr>
    </w:p>
    <w:p/>
    <w:p/>
    <w:p>
      <w:r>
        <w:rPr/>
        <w:t>采购包1(紫金县平安乡村智慧视频项目):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商务部分30.0分</w:t>
            </w:r>
          </w:p>
          <w:p>
            <w:r>
              <w:rPr/>
              <w:t>技术部分40.0分</w:t>
            </w:r>
          </w:p>
          <w:p>
            <w:r>
              <w:rPr/>
              <w:t>报价得分30.0分</w:t>
            </w:r>
          </w:p>
        </w:tc>
      </w:tr>
      <w:tr>
        <w:tc>
          <w:tcPr>
            <w:tcW w:type="dxa" w:w="922"/>
            <w:gridSpan w:val="2"/>
            <w:vMerge w:val="restart"/>
          </w:tcPr>
          <w:p>
            <w:pPr>
              <w:jc w:val="center"/>
            </w:pPr>
            <w:r>
              <w:rPr/>
              <w:t>技术部分</w:t>
            </w:r>
          </w:p>
        </w:tc>
        <w:tc>
          <w:tcPr>
            <w:tcW w:type="dxa" w:w="2307"/>
          </w:tcPr>
          <w:p>
            <w:pPr>
              <w:jc w:val="left"/>
            </w:pPr>
            <w:r>
              <w:rPr/>
              <w:t>技术参数响应情况 (30.0分)</w:t>
            </w:r>
          </w:p>
        </w:tc>
        <w:tc>
          <w:tcPr>
            <w:tcW w:type="dxa" w:w="5076"/>
          </w:tcPr>
          <w:p>
            <w:pPr>
              <w:jc w:val="left"/>
            </w:pPr>
            <w:r>
              <w:rPr/>
              <w:t>根据投标人对招标文件采购需求中技术参数条款响应进行评审：带“▲”指标每负偏离一项指标扣2分，扣完为止，本项最高30分。 注：带“▲”指标的条款，投标人应提供相关证明材料并加盖厂商公章或投标专用章作为评审依据，不提供不得分。</w:t>
            </w:r>
          </w:p>
        </w:tc>
      </w:tr>
      <w:tr>
        <w:tc>
          <w:tcPr>
            <w:tcW w:type="dxa" w:w="922"/>
            <w:gridSpan w:val="2"/>
            <w:vMerge/>
          </w:tcPr>
          <w:p/>
        </w:tc>
        <w:tc>
          <w:tcPr>
            <w:tcW w:type="dxa" w:w="2307"/>
          </w:tcPr>
          <w:p>
            <w:pPr>
              <w:jc w:val="left"/>
            </w:pPr>
            <w:r>
              <w:rPr/>
              <w:t>项目实施方案 (6.0分)</w:t>
            </w:r>
            <w:r>
              <w:rPr/>
              <w:t>，（等次分值选择：</w:t>
            </w:r>
            <w:r>
              <w:rPr/>
              <w:t>0.0;</w:t>
            </w:r>
            <w:r>
              <w:rPr/>
              <w:t>1.0;</w:t>
            </w:r>
            <w:r>
              <w:rPr/>
              <w:t>3.0;</w:t>
            </w:r>
            <w:r>
              <w:rPr/>
              <w:t>6.0;</w:t>
            </w:r>
            <w:r>
              <w:rPr/>
              <w:t>）</w:t>
            </w:r>
          </w:p>
        </w:tc>
        <w:tc>
          <w:tcPr>
            <w:tcW w:type="dxa" w:w="5076"/>
          </w:tcPr>
          <w:p>
            <w:pPr>
              <w:jc w:val="left"/>
            </w:pPr>
            <w:r>
              <w:rPr/>
              <w:t>根据投标人所提供的技术服务方案包括但不限于技术方案、安全管理方案及实施保障方案等其合理性、可行性、完整性等几方面进行评审： 1、方案完整详细、合理，服务承诺可行性高，有利于系统运行、有保障的为优，得6分； 2、方案完整较为详细、合理，服务承诺可行较高，有利于系统运行、尚可有保障的为良，得3分； 3、方案不够完整详细、不够合理或可行性一般，服务承诺一般的为差，得1分； 4、未提供不得分。</w:t>
            </w:r>
          </w:p>
        </w:tc>
      </w:tr>
      <w:tr>
        <w:tc>
          <w:tcPr>
            <w:tcW w:type="dxa" w:w="922"/>
            <w:gridSpan w:val="2"/>
            <w:vMerge/>
          </w:tcPr>
          <w:p/>
        </w:tc>
        <w:tc>
          <w:tcPr>
            <w:tcW w:type="dxa" w:w="2307"/>
          </w:tcPr>
          <w:p>
            <w:pPr>
              <w:jc w:val="left"/>
            </w:pPr>
            <w:r>
              <w:rPr/>
              <w:t>售后服务方案 (4.0分)</w:t>
            </w:r>
            <w:r>
              <w:rPr/>
              <w:t>，（等次分值选择：</w:t>
            </w:r>
            <w:r>
              <w:rPr/>
              <w:t>0.0;</w:t>
            </w:r>
            <w:r>
              <w:rPr/>
              <w:t>1.0;</w:t>
            </w:r>
            <w:r>
              <w:rPr/>
              <w:t>2.0;</w:t>
            </w:r>
            <w:r>
              <w:rPr/>
              <w:t>4.0;</w:t>
            </w:r>
            <w:r>
              <w:rPr/>
              <w:t>）</w:t>
            </w:r>
          </w:p>
        </w:tc>
        <w:tc>
          <w:tcPr>
            <w:tcW w:type="dxa" w:w="5076"/>
          </w:tcPr>
          <w:p>
            <w:pPr>
              <w:jc w:val="left"/>
            </w:pPr>
            <w:r>
              <w:rPr/>
              <w:t>根据投标人所提供售后服务方案包括但不限于服务方案、培训计划及响应速度进行评审： 1、方案完整详细、合理，服务承诺可行性高，有利于系统运行、有保障的为优，得4分； 2、方案完整较为详细、合理，服务承诺可行较高，有利于系统运行、尚可有保障的为良，得2分； 3、方案不够完整详细、不够合理或可行性一般，服务承诺一般的为差，得1分； 4、未提供不得分。</w:t>
            </w:r>
          </w:p>
        </w:tc>
      </w:tr>
      <w:tr>
        <w:tc>
          <w:tcPr>
            <w:tcW w:type="dxa" w:w="922"/>
            <w:gridSpan w:val="2"/>
            <w:vMerge w:val="restart"/>
          </w:tcPr>
          <w:p>
            <w:pPr>
              <w:jc w:val="center"/>
            </w:pPr>
            <w:r>
              <w:rPr/>
              <w:t>商务部分</w:t>
            </w:r>
          </w:p>
        </w:tc>
        <w:tc>
          <w:tcPr>
            <w:tcW w:type="dxa" w:w="2307"/>
          </w:tcPr>
          <w:p>
            <w:pPr>
              <w:jc w:val="left"/>
            </w:pPr>
            <w:r>
              <w:rPr/>
              <w:t>商务条款响应程度 (2.0分)</w:t>
            </w:r>
            <w:r>
              <w:rPr/>
              <w:t>，（等次分值选择：</w:t>
            </w:r>
            <w:r>
              <w:rPr/>
              <w:t>0.0;</w:t>
            </w:r>
            <w:r>
              <w:rPr/>
              <w:t>1.0;</w:t>
            </w:r>
            <w:r>
              <w:rPr/>
              <w:t>2.0;</w:t>
            </w:r>
            <w:r>
              <w:rPr/>
              <w:t>）</w:t>
            </w:r>
          </w:p>
        </w:tc>
        <w:tc>
          <w:tcPr>
            <w:tcW w:type="dxa" w:w="5076"/>
          </w:tcPr>
          <w:p>
            <w:pPr>
              <w:jc w:val="left"/>
            </w:pPr>
            <w:r>
              <w:rPr/>
              <w:t>根据投标人对招标文件商务条款的响应情况进行评审： 优于采购文件要求2分； 满足采购文件要求1分； 低于采购文件要求0分。</w:t>
            </w:r>
          </w:p>
        </w:tc>
      </w:tr>
      <w:tr>
        <w:tc>
          <w:tcPr>
            <w:tcW w:type="dxa" w:w="922"/>
            <w:gridSpan w:val="2"/>
            <w:vMerge/>
          </w:tcPr>
          <w:p/>
        </w:tc>
        <w:tc>
          <w:tcPr>
            <w:tcW w:type="dxa" w:w="2307"/>
          </w:tcPr>
          <w:p>
            <w:pPr>
              <w:jc w:val="left"/>
            </w:pPr>
            <w:r>
              <w:rPr/>
              <w:t>企业实力 (12.0分)</w:t>
            </w:r>
          </w:p>
        </w:tc>
        <w:tc>
          <w:tcPr>
            <w:tcW w:type="dxa" w:w="5076"/>
          </w:tcPr>
          <w:p>
            <w:pPr>
              <w:jc w:val="left"/>
            </w:pPr>
            <w:r>
              <w:rPr/>
              <w:t>根据投标人的企业实力进行评审： 1、投标人具有数据安全评估能力认证证书的得4分； 2、投标人具有数据安全建设能力认证证书的得4分； 3、投标人具有云安全管理体系CSA-STAR认证证书的得4分。 注：须提供上述相应证书复印件并加盖公章，未提供不得分。</w:t>
            </w:r>
          </w:p>
        </w:tc>
      </w:tr>
      <w:tr>
        <w:tc>
          <w:tcPr>
            <w:tcW w:type="dxa" w:w="922"/>
            <w:gridSpan w:val="2"/>
            <w:vMerge/>
          </w:tcPr>
          <w:p/>
        </w:tc>
        <w:tc>
          <w:tcPr>
            <w:tcW w:type="dxa" w:w="2307"/>
          </w:tcPr>
          <w:p>
            <w:pPr>
              <w:jc w:val="left"/>
            </w:pPr>
            <w:r>
              <w:rPr/>
              <w:t>同类项目业绩 (6.0分)</w:t>
            </w:r>
          </w:p>
        </w:tc>
        <w:tc>
          <w:tcPr>
            <w:tcW w:type="dxa" w:w="5076"/>
          </w:tcPr>
          <w:p>
            <w:pPr>
              <w:jc w:val="left"/>
            </w:pPr>
            <w:r>
              <w:rPr/>
              <w:t>根据投标人自2020年1月1日以来完成的信息化同类项目业绩情况进行评审（投标人名称需与项目业绩合同公章一致）： 注：每提供1个同类项目业绩得2分，最高6分。以合同签订日为准，须提供项目合同关键页（包括但不限于含封面、首页、项目内容、合同金额、签字盖章）复印件，未提供不得分。</w:t>
            </w:r>
          </w:p>
        </w:tc>
      </w:tr>
      <w:tr>
        <w:tc>
          <w:tcPr>
            <w:tcW w:type="dxa" w:w="922"/>
            <w:gridSpan w:val="2"/>
            <w:vMerge/>
          </w:tcPr>
          <w:p/>
        </w:tc>
        <w:tc>
          <w:tcPr>
            <w:tcW w:type="dxa" w:w="2307"/>
          </w:tcPr>
          <w:p>
            <w:pPr>
              <w:jc w:val="left"/>
            </w:pPr>
            <w:r>
              <w:rPr/>
              <w:t>企业管理体系认证 (4.0分)</w:t>
            </w:r>
          </w:p>
        </w:tc>
        <w:tc>
          <w:tcPr>
            <w:tcW w:type="dxa" w:w="5076"/>
          </w:tcPr>
          <w:p>
            <w:pPr>
              <w:jc w:val="left"/>
            </w:pPr>
            <w:r>
              <w:rPr/>
              <w:t>根据投标人的有效期内的企业管理体系认证进行评审： 1、信息技术服务管理体系认证证书； 2、质量管理体系认证证书。 注：每提供1份得2分，满分4分，须提供上述相应证书复印件并加盖公章，无或不提供不得分。</w:t>
            </w:r>
          </w:p>
        </w:tc>
      </w:tr>
      <w:tr>
        <w:tc>
          <w:tcPr>
            <w:tcW w:type="dxa" w:w="922"/>
            <w:gridSpan w:val="2"/>
            <w:vMerge/>
          </w:tcPr>
          <w:p/>
        </w:tc>
        <w:tc>
          <w:tcPr>
            <w:tcW w:type="dxa" w:w="2307"/>
          </w:tcPr>
          <w:p>
            <w:pPr>
              <w:jc w:val="left"/>
            </w:pPr>
            <w:r>
              <w:rPr/>
              <w:t>拟派技术服务团队 (6.0分)</w:t>
            </w:r>
          </w:p>
        </w:tc>
        <w:tc>
          <w:tcPr>
            <w:tcW w:type="dxa" w:w="5076"/>
          </w:tcPr>
          <w:p>
            <w:pPr>
              <w:jc w:val="left"/>
            </w:pPr>
            <w:r>
              <w:rPr/>
              <w:t>根据投标人拟派本项目的技术服务团队进行评审： 1、同时具有信息系统项目管理师及ITIL认证证书的，得3分； 2、同时具有电子信息工程师证书及通信专业技术人员职业资格证书中级或以上工程师证书，得2分； 3、具有系统集成项目管理工程师中级及以上的，每提供1人得0.5分，此项满分1分。 注：以上人员不重复得分，按最高分计取。须提供以上拟派人员的相关证书复印件及其本人在投标单位最近三个月的社保参保证明作评审依据，无或未提供不得分。</w:t>
            </w:r>
          </w:p>
        </w:tc>
      </w:tr>
      <w:tr>
        <w:tc>
          <w:tcPr>
            <w:tcW w:type="dxa" w:w="922"/>
            <w:gridSpan w:val="2"/>
          </w:tcPr>
          <w:p>
            <w:pPr>
              <w:jc w:val="center"/>
            </w:pPr>
            <w:r>
              <w:rPr/>
              <w:t>投标报价</w:t>
            </w:r>
          </w:p>
        </w:tc>
        <w:tc>
          <w:tcPr>
            <w:tcW w:type="dxa" w:w="2307"/>
          </w:tcPr>
          <w:p>
            <w:pPr>
              <w:jc w:val="left"/>
            </w:pPr>
            <w:r>
              <w:rPr/>
              <w:t>投标报价得分 (30.0分)</w:t>
            </w:r>
          </w:p>
        </w:tc>
        <w:tc>
          <w:tcPr>
            <w:tcW w:type="dxa" w:w="5076"/>
          </w:tcPr>
          <w:p>
            <w:pPr>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
      <w:r>
        <w:rPr>
          <w:b/>
          <w:sz w:val="24"/>
        </w:rPr>
        <w:t>4.汇总、排序</w:t>
      </w:r>
    </w:p>
    <w:p>
      <w:pPr>
        <w:ind w:firstLine="480"/>
      </w:pPr>
    </w:p>
    <w:p/>
    <w:p>
      <w:r>
        <w:rPr/>
        <w:t>采购包1：</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排名第三的投标供应商为第三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
      <w:r>
        <w:rPr>
          <w:b/>
          <w:sz w:val="24"/>
        </w:rPr>
        <w:t>5.中标价的确定</w:t>
      </w:r>
    </w:p>
    <w:p>
      <w:pPr>
        <w:ind w:firstLine="480"/>
      </w:pPr>
      <w:r>
        <w:rPr/>
        <w:t>除了按第四章第一点第7条修正并经投标人确认的投标报价作为中标价外，中标价以开标时公开唱标价为准。</w:t>
      </w:r>
    </w:p>
    <w:p>
      <w:r>
        <w:rPr>
          <w:b/>
          <w:sz w:val="24"/>
        </w:rPr>
        <w:t>6.其他无效投标的情形：</w:t>
      </w:r>
    </w:p>
    <w:p>
      <w:pPr>
        <w:ind w:firstLine="480"/>
      </w:pPr>
      <w:r>
        <w:rPr/>
        <w:t>(1)评标期间，投标人没有按评标委员会的要求提交法定代表人或其委托代理人签字的澄清、说明、补正或改变了投标文件的实质性内容的。</w:t>
      </w:r>
    </w:p>
    <w:p>
      <w:pPr>
        <w:ind w:firstLine="480"/>
      </w:pPr>
      <w:r>
        <w:rPr/>
        <w:t>(2)投标文件提供虚假材料的。</w:t>
      </w:r>
    </w:p>
    <w:p>
      <w:pPr>
        <w:ind w:firstLine="480"/>
      </w:pPr>
      <w:r>
        <w:rPr/>
        <w:t>(3)投标人以他人名义投标、串通投标、以行贿手段谋取中标或者以其他弄虚作假方式投标的。</w:t>
      </w:r>
    </w:p>
    <w:p>
      <w:pPr>
        <w:ind w:firstLine="480"/>
      </w:pPr>
      <w:r>
        <w:rPr/>
        <w:t>(4)投标人对采购人、采购代理机构、评标委员会及其工作人员施加影响，有碍招标公平、公正的。</w:t>
      </w:r>
    </w:p>
    <w:p>
      <w:pPr>
        <w:ind w:firstLine="480"/>
      </w:pPr>
      <w:r>
        <w:rPr/>
        <w:t>(5)投标文件含有采购人不能接受的附加条件的。</w:t>
      </w:r>
    </w:p>
    <w:p>
      <w:pPr>
        <w:ind w:firstLine="480"/>
      </w:pPr>
      <w:r>
        <w:rPr/>
        <w:t>(6)法律、法规和招标文件规定的其他无效情形。</w:t>
      </w:r>
    </w:p>
    <w:p>
      <w:pPr>
        <w:ind w:firstLine="480"/>
      </w:pPr>
    </w:p>
    <w:p>
      <w:r>
        <w:rPr/>
        <w:t xml:space="preserve"> </w:t>
      </w:r>
    </w:p>
    <w:p/>
    <w:p>
      <w:pPr>
        <w:jc w:val="center"/>
      </w:pPr>
      <w:r>
        <w:rPr>
          <w:b/>
          <w:sz w:val="36"/>
        </w:rPr>
        <w:t>第五章 合同文本</w:t>
      </w:r>
    </w:p>
    <w:p>
      <w:pPr>
        <w:ind w:firstLine="480"/>
      </w:pPr>
    </w:p>
    <w:p/>
    <w:p/>
    <w:p/>
    <w:p>
      <w:pPr>
        <w:jc w:val="center"/>
      </w:pPr>
      <w:r>
        <w:rPr>
          <w:b/>
        </w:rPr>
        <w:t xml:space="preserve"> </w:t>
      </w:r>
    </w:p>
    <w:p>
      <w:pPr>
        <w:jc w:val="center"/>
      </w:pPr>
      <w:r>
        <w:rPr>
          <w:b/>
        </w:rPr>
        <w:t xml:space="preserve"> </w:t>
      </w:r>
    </w:p>
    <w:p>
      <w:pPr>
        <w:jc w:val="center"/>
      </w:pPr>
      <w:r>
        <w:rPr>
          <w:b/>
        </w:rPr>
        <w:t xml:space="preserve"> </w:t>
      </w:r>
    </w:p>
    <w:p>
      <w:pPr>
        <w:jc w:val="center"/>
      </w:pPr>
      <w:r>
        <w:rPr>
          <w:b/>
        </w:rPr>
        <w:t xml:space="preserve"> </w:t>
      </w:r>
    </w:p>
    <w:p>
      <w:pPr>
        <w:jc w:val="center"/>
      </w:pPr>
      <w:r>
        <w:rPr>
          <w:b/>
          <w:u w:val="single"/>
        </w:rPr>
        <w:t xml:space="preserve">          </w:t>
      </w:r>
      <w:r>
        <w:rPr>
          <w:b/>
        </w:rPr>
        <w:t xml:space="preserve"> 政府采购</w:t>
      </w:r>
    </w:p>
    <w:p>
      <w:pPr>
        <w:jc w:val="both"/>
      </w:pPr>
    </w:p>
    <w:p>
      <w:pPr>
        <w:jc w:val="center"/>
      </w:pPr>
      <w:r>
        <w:rPr>
          <w:b/>
        </w:rPr>
        <w:t>合　同　书</w:t>
      </w:r>
    </w:p>
    <w:p>
      <w:pPr>
        <w:jc w:val="center"/>
      </w:pPr>
      <w:r>
        <w:br/>
      </w:r>
      <w:r>
        <w:br/>
      </w:r>
      <w:r>
        <w:br/>
      </w:r>
      <w:r>
        <w:br/>
      </w:r>
      <w:r>
        <w:br/>
      </w:r>
      <w:r>
        <w:br/>
      </w:r>
      <w:r>
        <w:br/>
      </w:r>
      <w:r>
        <w:br/>
      </w:r>
      <w:r>
        <w:rPr>
          <w:color w:val="222222"/>
          <w:sz w:val="27"/>
        </w:rPr>
        <w:t xml:space="preserve"> </w:t>
      </w:r>
    </w:p>
    <w:p>
      <w:pPr>
        <w:jc w:val="center"/>
      </w:pPr>
      <w:r>
        <w:rPr>
          <w:color w:val="222222"/>
          <w:sz w:val="28"/>
        </w:rPr>
        <w:t>项目编号：</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jc w:val="both"/>
      </w:pPr>
      <w:r>
        <w:rPr>
          <w:color w:val="222222"/>
          <w:sz w:val="27"/>
        </w:rPr>
        <w:t xml:space="preserve"> </w:t>
      </w:r>
    </w:p>
    <w:p>
      <w:pPr>
        <w:jc w:val="center"/>
      </w:pPr>
      <w:r>
        <w:rPr>
          <w:color w:val="222222"/>
          <w:sz w:val="28"/>
        </w:rPr>
        <w:t>项目名称：</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jc w:val="both"/>
      </w:pPr>
      <w:r>
        <w:rPr>
          <w:color w:val="222222"/>
          <w:sz w:val="27"/>
        </w:rPr>
        <w:t xml:space="preserve"> </w:t>
      </w:r>
    </w:p>
    <w:p>
      <w:pPr>
        <w:jc w:val="center"/>
      </w:pPr>
      <w:r>
        <w:rPr>
          <w:color w:val="222222"/>
          <w:sz w:val="28"/>
        </w:rPr>
        <w:t>合同编号：</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r>
        <w:rPr>
          <w:color w:val="222222"/>
          <w:sz w:val="27"/>
        </w:rPr>
        <w:t xml:space="preserve"> </w:t>
      </w:r>
    </w:p>
    <w:p>
      <w:r>
        <w:rPr>
          <w:color w:val="222222"/>
          <w:sz w:val="27"/>
        </w:rPr>
        <w:t xml:space="preserve"> </w:t>
      </w:r>
    </w:p>
    <w:p>
      <w:r>
        <w:rPr>
          <w:b/>
          <w:color w:val="222222"/>
          <w:sz w:val="28"/>
        </w:rPr>
        <w:t>注：本合同仅为合同的参考文本，合同签订双方可根据项目的具体要求进行修订。</w:t>
      </w:r>
      <w:r>
        <w:rPr>
          <w:color w:val="222222"/>
          <w:sz w:val="27"/>
        </w:rPr>
        <w:t xml:space="preserve"> </w:t>
      </w:r>
    </w:p>
    <w:p>
      <w:r>
        <w:rPr>
          <w:color w:val="222222"/>
          <w:sz w:val="27"/>
        </w:rPr>
        <w:t xml:space="preserve"> </w:t>
      </w:r>
    </w:p>
    <w:p>
      <w:r>
        <w:rPr>
          <w:color w:val="222222"/>
          <w:sz w:val="27"/>
        </w:rPr>
        <w:t xml:space="preserve"> </w:t>
      </w:r>
    </w:p>
    <w:p>
      <w:r>
        <w:rPr>
          <w:color w:val="222222"/>
          <w:sz w:val="27"/>
        </w:rPr>
        <w:t xml:space="preserve"> </w:t>
      </w:r>
    </w:p>
    <w:p>
      <w:r>
        <w:rPr>
          <w:color w:val="222222"/>
          <w:sz w:val="27"/>
        </w:rPr>
        <w:t xml:space="preserve"> </w:t>
      </w:r>
    </w:p>
    <w:p>
      <w:r>
        <w:rPr>
          <w:color w:val="222222"/>
          <w:sz w:val="27"/>
        </w:rPr>
        <w:t xml:space="preserve"> </w:t>
      </w:r>
    </w:p>
    <w:p>
      <w:r>
        <w:rPr/>
        <w:t xml:space="preserve"> </w:t>
      </w:r>
    </w:p>
    <w:p>
      <w:r>
        <w:rPr/>
        <w:t xml:space="preserve"> </w:t>
      </w:r>
    </w:p>
    <w:p>
      <w:r>
        <w:rPr/>
        <w:t xml:space="preserve"> </w:t>
      </w:r>
    </w:p>
    <w:p>
      <w:r>
        <w:rPr/>
        <w:t xml:space="preserve"> </w:t>
      </w:r>
    </w:p>
    <w:p>
      <w:r>
        <w:rPr/>
        <w:t xml:space="preserve"> </w:t>
      </w:r>
    </w:p>
    <w:p>
      <w:r>
        <w:rPr/>
        <w:t xml:space="preserve"> </w:t>
      </w:r>
    </w:p>
    <w:p>
      <w:r>
        <w:rPr>
          <w:color w:val="222222"/>
          <w:sz w:val="27"/>
        </w:rPr>
        <w:t xml:space="preserve"> </w:t>
      </w:r>
    </w:p>
    <w:p>
      <w:pPr>
        <w:jc w:val="both"/>
      </w:pPr>
      <w:r>
        <w:br/>
      </w:r>
      <w:r>
        <w:rPr>
          <w:color w:val="222222"/>
          <w:sz w:val="27"/>
        </w:rPr>
        <w:t xml:space="preserve"> </w:t>
      </w:r>
    </w:p>
    <w:p>
      <w:pPr>
        <w:jc w:val="both"/>
      </w:pPr>
      <w:r>
        <w:rPr>
          <w:sz w:val="24"/>
        </w:rPr>
        <w:t>甲</w:t>
      </w:r>
      <w:r>
        <w:rPr>
          <w:sz w:val="24"/>
        </w:rPr>
        <w:t xml:space="preserve">   </w:t>
      </w:r>
      <w:r>
        <w:rPr>
          <w:sz w:val="24"/>
        </w:rPr>
        <w:t>方：</w:t>
      </w:r>
      <w:r>
        <w:rPr>
          <w:sz w:val="21"/>
          <w:u w:val="single"/>
        </w:rPr>
        <w:t xml:space="preserve">                   </w:t>
      </w:r>
    </w:p>
    <w:p>
      <w:pPr>
        <w:jc w:val="both"/>
      </w:pPr>
      <w:r>
        <w:rPr>
          <w:sz w:val="24"/>
        </w:rPr>
        <w:t>电</w:t>
      </w:r>
      <w:r>
        <w:rPr>
          <w:sz w:val="24"/>
        </w:rPr>
        <w:t xml:space="preserve">   </w:t>
      </w:r>
      <w:r>
        <w:rPr>
          <w:sz w:val="24"/>
        </w:rPr>
        <w:t>话：</w:t>
      </w:r>
      <w:r>
        <w:rPr>
          <w:sz w:val="21"/>
          <w:u w:val="single"/>
        </w:rPr>
        <w:t xml:space="preserve">               </w:t>
      </w:r>
      <w:r>
        <w:rPr>
          <w:sz w:val="24"/>
        </w:rPr>
        <w:t>传</w:t>
      </w:r>
      <w:r>
        <w:rPr>
          <w:sz w:val="24"/>
        </w:rPr>
        <w:t xml:space="preserve"> </w:t>
      </w:r>
      <w:r>
        <w:rPr>
          <w:sz w:val="24"/>
        </w:rPr>
        <w:t>真：</w:t>
      </w:r>
      <w:r>
        <w:rPr>
          <w:sz w:val="21"/>
          <w:u w:val="single"/>
        </w:rPr>
        <w:t xml:space="preserve">           </w:t>
      </w:r>
      <w:r>
        <w:rPr>
          <w:sz w:val="24"/>
        </w:rPr>
        <w:t>地</w:t>
      </w:r>
      <w:r>
        <w:rPr>
          <w:sz w:val="24"/>
        </w:rPr>
        <w:t xml:space="preserve"> </w:t>
      </w:r>
      <w:r>
        <w:rPr>
          <w:sz w:val="24"/>
        </w:rPr>
        <w:t>址：</w:t>
      </w:r>
      <w:r>
        <w:rPr>
          <w:sz w:val="21"/>
          <w:u w:val="single"/>
        </w:rPr>
        <w:t xml:space="preserve">                    </w:t>
      </w:r>
    </w:p>
    <w:p>
      <w:pPr>
        <w:jc w:val="both"/>
      </w:pPr>
      <w:r>
        <w:rPr>
          <w:sz w:val="24"/>
        </w:rPr>
        <w:t>乙</w:t>
      </w:r>
      <w:r>
        <w:rPr>
          <w:sz w:val="24"/>
        </w:rPr>
        <w:t xml:space="preserve">   </w:t>
      </w:r>
      <w:r>
        <w:rPr>
          <w:sz w:val="24"/>
        </w:rPr>
        <w:t>方：</w:t>
      </w:r>
      <w:r>
        <w:rPr>
          <w:sz w:val="21"/>
          <w:u w:val="single"/>
        </w:rPr>
        <w:t xml:space="preserve">                    </w:t>
      </w:r>
    </w:p>
    <w:p>
      <w:pPr>
        <w:jc w:val="both"/>
      </w:pPr>
      <w:r>
        <w:rPr>
          <w:sz w:val="24"/>
        </w:rPr>
        <w:t>电</w:t>
      </w:r>
      <w:r>
        <w:rPr>
          <w:sz w:val="24"/>
        </w:rPr>
        <w:t xml:space="preserve">   </w:t>
      </w:r>
      <w:r>
        <w:rPr>
          <w:sz w:val="24"/>
        </w:rPr>
        <w:t>话：</w:t>
      </w:r>
      <w:r>
        <w:rPr>
          <w:sz w:val="21"/>
          <w:u w:val="single"/>
        </w:rPr>
        <w:t xml:space="preserve">               </w:t>
      </w:r>
      <w:r>
        <w:rPr>
          <w:sz w:val="24"/>
        </w:rPr>
        <w:t>传</w:t>
      </w:r>
      <w:r>
        <w:rPr>
          <w:sz w:val="24"/>
        </w:rPr>
        <w:t xml:space="preserve"> </w:t>
      </w:r>
      <w:r>
        <w:rPr>
          <w:sz w:val="24"/>
        </w:rPr>
        <w:t>真：</w:t>
      </w:r>
      <w:r>
        <w:rPr>
          <w:sz w:val="21"/>
          <w:u w:val="single"/>
        </w:rPr>
        <w:t xml:space="preserve">           </w:t>
      </w:r>
      <w:r>
        <w:rPr>
          <w:sz w:val="24"/>
        </w:rPr>
        <w:t>地</w:t>
      </w:r>
      <w:r>
        <w:rPr>
          <w:sz w:val="24"/>
        </w:rPr>
        <w:t xml:space="preserve"> </w:t>
      </w:r>
      <w:r>
        <w:rPr>
          <w:sz w:val="24"/>
        </w:rPr>
        <w:t>址：</w:t>
      </w:r>
      <w:r>
        <w:rPr>
          <w:sz w:val="21"/>
          <w:u w:val="single"/>
        </w:rPr>
        <w:t xml:space="preserve">                     </w:t>
      </w:r>
    </w:p>
    <w:p>
      <w:pPr>
        <w:jc w:val="both"/>
      </w:pPr>
      <w:r>
        <w:rPr>
          <w:sz w:val="24"/>
        </w:rPr>
        <w:t>项目名称：</w:t>
      </w:r>
      <w:r>
        <w:rPr>
          <w:sz w:val="21"/>
          <w:u w:val="single"/>
        </w:rPr>
        <w:t xml:space="preserve">               </w:t>
      </w:r>
      <w:r>
        <w:rPr>
          <w:sz w:val="24"/>
        </w:rPr>
        <w:t>项目编号：</w:t>
      </w:r>
      <w:r>
        <w:rPr>
          <w:sz w:val="21"/>
          <w:u w:val="single"/>
        </w:rPr>
        <w:t xml:space="preserve">               </w:t>
      </w:r>
    </w:p>
    <w:p>
      <w:pPr>
        <w:ind w:firstLine="480"/>
        <w:jc w:val="both"/>
      </w:pPr>
    </w:p>
    <w:p>
      <w:pPr>
        <w:ind w:firstLine="480"/>
        <w:jc w:val="both"/>
      </w:pPr>
      <w:r>
        <w:rPr>
          <w:sz w:val="24"/>
        </w:rPr>
        <w:t>根据</w:t>
      </w:r>
      <w:r>
        <w:rPr>
          <w:sz w:val="21"/>
          <w:u w:val="single"/>
        </w:rPr>
        <w:t xml:space="preserve">               </w:t>
      </w:r>
      <w:r>
        <w:rPr>
          <w:sz w:val="24"/>
        </w:rPr>
        <w:t>的采购结果，按照《中华人民共和国政府采购法》《中华人民共和国民法典》</w:t>
      </w:r>
      <w:r>
        <w:rPr>
          <w:sz w:val="21"/>
          <w:u w:val="single"/>
        </w:rPr>
        <w:t xml:space="preserve">               </w:t>
      </w:r>
      <w:r>
        <w:rPr>
          <w:sz w:val="24"/>
        </w:rPr>
        <w:t>的规定，经双方协商，本着平等互利和诚实信用的原则，一致同意签订本合同如下。</w:t>
      </w:r>
    </w:p>
    <w:p>
      <w:pPr>
        <w:jc w:val="both"/>
      </w:pPr>
      <w:r>
        <w:rPr>
          <w:b/>
          <w:sz w:val="24"/>
        </w:rPr>
        <w:t>一、货物内容：</w:t>
      </w:r>
    </w:p>
    <w:tbl>
      <w:tblPr>
        <w:tblW w:w="0" w:type="auto"/>
        <w:tblInd w:type="dxa" w:w="105"/>
        <w:tblBorders>
          <w:top w:val="none" w:color="000000" w:sz="4"/>
          <w:left w:val="none" w:color="000000" w:sz="4"/>
          <w:bottom w:val="none" w:color="000000" w:sz="4"/>
          <w:right w:val="none" w:color="000000" w:sz="4"/>
          <w:insideH w:val="none"/>
          <w:insideV w:val="none"/>
        </w:tblBorders>
      </w:tblPr>
      <w:tblGrid>
        <w:gridCol w:w="666"/>
        <w:gridCol w:w="1251"/>
        <w:gridCol w:w="2964"/>
        <w:gridCol w:w="816"/>
        <w:gridCol w:w="816"/>
        <w:gridCol w:w="979"/>
        <w:gridCol w:w="816"/>
      </w:tblGrid>
      <w:tr>
        <w:tc>
          <w:tcPr>
            <w:tcW w:type="dxa" w:w="666"/>
            <w:tcBorders>
              <w:top w:val="single" w:color="000000" w:sz="4"/>
              <w:left w:val="single" w:color="000000" w:sz="4"/>
              <w:bottom w:val="single" w:color="000000" w:sz="4"/>
              <w:right w:val="single" w:color="000000" w:sz="4"/>
            </w:tcBorders>
            <w:vAlign w:val="top"/>
          </w:tcPr>
          <w:p>
            <w:pPr>
              <w:jc w:val="center"/>
            </w:pPr>
            <w:r>
              <w:rPr>
                <w:sz w:val="24"/>
              </w:rPr>
              <w:t>序号</w:t>
            </w:r>
          </w:p>
        </w:tc>
        <w:tc>
          <w:tcPr>
            <w:tcW w:type="dxa" w:w="1251"/>
            <w:tcBorders>
              <w:top w:val="single" w:color="000000" w:sz="4"/>
              <w:left w:val="single" w:color="000000" w:sz="4"/>
              <w:bottom w:val="single" w:color="000000" w:sz="4"/>
              <w:right w:val="single" w:color="000000" w:sz="4"/>
            </w:tcBorders>
            <w:vAlign w:val="top"/>
          </w:tcPr>
          <w:p>
            <w:pPr>
              <w:jc w:val="center"/>
            </w:pPr>
            <w:r>
              <w:rPr>
                <w:sz w:val="24"/>
              </w:rPr>
              <w:t>商品名称</w:t>
            </w:r>
          </w:p>
          <w:p>
            <w:pPr>
              <w:jc w:val="center"/>
            </w:pPr>
            <w:r>
              <w:rPr>
                <w:sz w:val="24"/>
              </w:rPr>
              <w:t>（货物名称）</w:t>
            </w:r>
          </w:p>
        </w:tc>
        <w:tc>
          <w:tcPr>
            <w:tcW w:type="dxa" w:w="2964"/>
            <w:tcBorders>
              <w:top w:val="single" w:color="000000" w:sz="4"/>
              <w:left w:val="single" w:color="000000" w:sz="4"/>
              <w:bottom w:val="single" w:color="000000" w:sz="4"/>
              <w:right w:val="single" w:color="000000" w:sz="4"/>
            </w:tcBorders>
            <w:vAlign w:val="top"/>
          </w:tcPr>
          <w:p>
            <w:pPr>
              <w:jc w:val="center"/>
            </w:pPr>
            <w:r>
              <w:rPr>
                <w:sz w:val="24"/>
              </w:rPr>
              <w:t>品牌、规格型号、配置（性能参数）</w:t>
            </w:r>
          </w:p>
        </w:tc>
        <w:tc>
          <w:tcPr>
            <w:tcW w:type="dxa" w:w="816"/>
            <w:tcBorders>
              <w:top w:val="single" w:color="000000" w:sz="4"/>
              <w:left w:val="single" w:color="000000" w:sz="4"/>
              <w:bottom w:val="single" w:color="000000" w:sz="4"/>
              <w:right w:val="single" w:color="000000" w:sz="4"/>
            </w:tcBorders>
            <w:vAlign w:val="top"/>
          </w:tcPr>
          <w:p>
            <w:pPr>
              <w:jc w:val="center"/>
            </w:pPr>
            <w:r>
              <w:rPr>
                <w:sz w:val="24"/>
              </w:rPr>
              <w:t>产地</w:t>
            </w:r>
          </w:p>
        </w:tc>
        <w:tc>
          <w:tcPr>
            <w:tcW w:type="dxa" w:w="816"/>
            <w:tcBorders>
              <w:top w:val="single" w:color="000000" w:sz="4"/>
              <w:left w:val="single" w:color="000000" w:sz="4"/>
              <w:bottom w:val="single" w:color="000000" w:sz="4"/>
              <w:right w:val="single" w:color="000000" w:sz="4"/>
            </w:tcBorders>
            <w:vAlign w:val="top"/>
          </w:tcPr>
          <w:p>
            <w:pPr>
              <w:jc w:val="center"/>
            </w:pPr>
            <w:r>
              <w:rPr>
                <w:sz w:val="24"/>
              </w:rPr>
              <w:t>数量</w:t>
            </w:r>
          </w:p>
        </w:tc>
        <w:tc>
          <w:tcPr>
            <w:tcW w:type="dxa" w:w="979"/>
            <w:tcBorders>
              <w:top w:val="single" w:color="000000" w:sz="4"/>
              <w:left w:val="single" w:color="000000" w:sz="4"/>
              <w:bottom w:val="single" w:color="000000" w:sz="4"/>
              <w:right w:val="single" w:color="000000" w:sz="4"/>
            </w:tcBorders>
            <w:vAlign w:val="top"/>
          </w:tcPr>
          <w:p>
            <w:pPr>
              <w:jc w:val="center"/>
            </w:pPr>
            <w:r>
              <w:rPr>
                <w:sz w:val="24"/>
              </w:rPr>
              <w:t>单价</w:t>
            </w:r>
            <w:r>
              <w:rPr>
                <w:sz w:val="24"/>
              </w:rPr>
              <w:t>(元)</w:t>
            </w:r>
          </w:p>
        </w:tc>
        <w:tc>
          <w:tcPr>
            <w:tcW w:type="dxa" w:w="816"/>
            <w:tcBorders>
              <w:top w:val="single" w:color="000000" w:sz="4"/>
              <w:left w:val="single" w:color="000000" w:sz="4"/>
              <w:bottom w:val="single" w:color="000000" w:sz="4"/>
              <w:right w:val="single" w:color="000000" w:sz="4"/>
            </w:tcBorders>
            <w:vAlign w:val="top"/>
          </w:tcPr>
          <w:p>
            <w:pPr>
              <w:jc w:val="center"/>
            </w:pPr>
            <w:r>
              <w:rPr>
                <w:sz w:val="24"/>
              </w:rPr>
              <w:t>含税</w:t>
            </w:r>
            <w:r>
              <w:rPr>
                <w:sz w:val="24"/>
              </w:rPr>
              <w:t>金额</w:t>
            </w:r>
            <w:r>
              <w:rPr>
                <w:sz w:val="24"/>
              </w:rPr>
              <w:t>(元)</w:t>
            </w:r>
          </w:p>
        </w:tc>
      </w:tr>
      <w:tr>
        <w:tc>
          <w:tcPr>
            <w:tcW w:type="dxa" w:w="666"/>
            <w:tcBorders>
              <w:top w:val="none" w:color="000000" w:sz="4"/>
              <w:left w:val="single" w:color="000000" w:sz="4"/>
              <w:bottom w:val="single" w:color="000000" w:sz="4"/>
              <w:right w:val="single" w:color="000000" w:sz="4"/>
            </w:tcBorders>
            <w:vAlign w:val="top"/>
          </w:tcPr>
          <w:p>
            <w:pPr>
              <w:jc w:val="center"/>
            </w:pPr>
            <w:r>
              <w:rPr>
                <w:sz w:val="24"/>
              </w:rPr>
              <w:t>1</w:t>
            </w:r>
          </w:p>
        </w:tc>
        <w:tc>
          <w:tcPr>
            <w:tcW w:type="dxa" w:w="1251"/>
            <w:tcBorders>
              <w:top w:val="none" w:color="000000" w:sz="4"/>
              <w:left w:val="single" w:color="000000" w:sz="4"/>
              <w:bottom w:val="single" w:color="000000" w:sz="4"/>
              <w:right w:val="single" w:color="000000" w:sz="4"/>
            </w:tcBorders>
            <w:vAlign w:val="top"/>
          </w:tcPr>
          <w:p>
            <w:pPr>
              <w:jc w:val="center"/>
            </w:pPr>
          </w:p>
        </w:tc>
        <w:tc>
          <w:tcPr>
            <w:tcW w:type="dxa" w:w="2964"/>
            <w:tcBorders>
              <w:top w:val="none" w:color="000000" w:sz="4"/>
              <w:left w:val="single" w:color="000000" w:sz="4"/>
              <w:bottom w:val="single" w:color="000000" w:sz="4"/>
              <w:right w:val="single" w:color="000000" w:sz="4"/>
            </w:tcBorders>
            <w:vAlign w:val="top"/>
          </w:tcPr>
          <w:p>
            <w:pPr>
              <w:jc w:val="center"/>
            </w:pPr>
          </w:p>
        </w:tc>
        <w:tc>
          <w:tcPr>
            <w:tcW w:type="dxa" w:w="816"/>
            <w:tcBorders>
              <w:top w:val="none" w:color="000000" w:sz="4"/>
              <w:left w:val="single" w:color="000000" w:sz="4"/>
              <w:bottom w:val="single" w:color="000000" w:sz="4"/>
              <w:right w:val="single" w:color="000000" w:sz="4"/>
            </w:tcBorders>
            <w:vAlign w:val="top"/>
          </w:tcPr>
          <w:p>
            <w:pPr>
              <w:jc w:val="center"/>
            </w:pPr>
          </w:p>
        </w:tc>
        <w:tc>
          <w:tcPr>
            <w:tcW w:type="dxa" w:w="816"/>
            <w:tcBorders>
              <w:top w:val="none" w:color="000000" w:sz="4"/>
              <w:left w:val="single" w:color="000000" w:sz="4"/>
              <w:bottom w:val="single" w:color="000000" w:sz="4"/>
              <w:right w:val="single" w:color="000000" w:sz="4"/>
            </w:tcBorders>
            <w:vAlign w:val="top"/>
          </w:tcPr>
          <w:p>
            <w:pPr>
              <w:jc w:val="center"/>
            </w:pPr>
          </w:p>
        </w:tc>
        <w:tc>
          <w:tcPr>
            <w:tcW w:type="dxa" w:w="979"/>
            <w:tcBorders>
              <w:top w:val="none" w:color="000000" w:sz="4"/>
              <w:left w:val="single" w:color="000000" w:sz="4"/>
              <w:bottom w:val="single" w:color="000000" w:sz="4"/>
              <w:right w:val="single" w:color="000000" w:sz="4"/>
            </w:tcBorders>
            <w:vAlign w:val="top"/>
          </w:tcPr>
          <w:p>
            <w:pPr>
              <w:jc w:val="center"/>
            </w:pPr>
          </w:p>
        </w:tc>
        <w:tc>
          <w:tcPr>
            <w:tcW w:type="dxa" w:w="816"/>
            <w:tcBorders>
              <w:top w:val="none" w:color="000000" w:sz="4"/>
              <w:left w:val="single" w:color="000000" w:sz="4"/>
              <w:bottom w:val="single" w:color="000000" w:sz="4"/>
              <w:right w:val="single" w:color="000000" w:sz="4"/>
            </w:tcBorders>
            <w:vAlign w:val="top"/>
          </w:tcPr>
          <w:p>
            <w:pPr>
              <w:jc w:val="center"/>
            </w:pPr>
          </w:p>
        </w:tc>
      </w:tr>
      <w:tr>
        <w:tc>
          <w:tcPr>
            <w:tcW w:type="dxa" w:w="666"/>
            <w:tcBorders>
              <w:top w:val="none" w:color="000000" w:sz="4"/>
              <w:left w:val="single" w:color="000000" w:sz="4"/>
              <w:bottom w:val="single" w:color="000000" w:sz="4"/>
              <w:right w:val="single" w:color="000000" w:sz="4"/>
            </w:tcBorders>
            <w:vAlign w:val="top"/>
          </w:tcPr>
          <w:p>
            <w:pPr>
              <w:jc w:val="center"/>
            </w:pPr>
            <w:r>
              <w:rPr>
                <w:sz w:val="24"/>
              </w:rPr>
              <w:t>2</w:t>
            </w:r>
          </w:p>
        </w:tc>
        <w:tc>
          <w:tcPr>
            <w:tcW w:type="dxa" w:w="1251"/>
            <w:tcBorders>
              <w:top w:val="none" w:color="000000" w:sz="4"/>
              <w:left w:val="single" w:color="000000" w:sz="4"/>
              <w:bottom w:val="single" w:color="000000" w:sz="4"/>
              <w:right w:val="single" w:color="000000" w:sz="4"/>
            </w:tcBorders>
            <w:vAlign w:val="top"/>
          </w:tcPr>
          <w:p>
            <w:pPr>
              <w:jc w:val="center"/>
            </w:pPr>
          </w:p>
        </w:tc>
        <w:tc>
          <w:tcPr>
            <w:tcW w:type="dxa" w:w="2964"/>
            <w:tcBorders>
              <w:top w:val="none" w:color="000000" w:sz="4"/>
              <w:left w:val="single" w:color="000000" w:sz="4"/>
              <w:bottom w:val="single" w:color="000000" w:sz="4"/>
              <w:right w:val="single" w:color="000000" w:sz="4"/>
            </w:tcBorders>
            <w:vAlign w:val="top"/>
          </w:tcPr>
          <w:p>
            <w:pPr>
              <w:jc w:val="center"/>
            </w:pPr>
          </w:p>
        </w:tc>
        <w:tc>
          <w:tcPr>
            <w:tcW w:type="dxa" w:w="816"/>
            <w:tcBorders>
              <w:top w:val="none" w:color="000000" w:sz="4"/>
              <w:left w:val="single" w:color="000000" w:sz="4"/>
              <w:bottom w:val="single" w:color="000000" w:sz="4"/>
              <w:right w:val="single" w:color="000000" w:sz="4"/>
            </w:tcBorders>
            <w:vAlign w:val="top"/>
          </w:tcPr>
          <w:p>
            <w:pPr>
              <w:jc w:val="center"/>
            </w:pPr>
          </w:p>
        </w:tc>
        <w:tc>
          <w:tcPr>
            <w:tcW w:type="dxa" w:w="816"/>
            <w:tcBorders>
              <w:top w:val="none" w:color="000000" w:sz="4"/>
              <w:left w:val="single" w:color="000000" w:sz="4"/>
              <w:bottom w:val="single" w:color="000000" w:sz="4"/>
              <w:right w:val="single" w:color="000000" w:sz="4"/>
            </w:tcBorders>
            <w:vAlign w:val="top"/>
          </w:tcPr>
          <w:p>
            <w:pPr>
              <w:jc w:val="center"/>
            </w:pPr>
          </w:p>
        </w:tc>
        <w:tc>
          <w:tcPr>
            <w:tcW w:type="dxa" w:w="979"/>
            <w:tcBorders>
              <w:top w:val="none" w:color="000000" w:sz="4"/>
              <w:left w:val="single" w:color="000000" w:sz="4"/>
              <w:bottom w:val="single" w:color="000000" w:sz="4"/>
              <w:right w:val="single" w:color="000000" w:sz="4"/>
            </w:tcBorders>
            <w:vAlign w:val="top"/>
          </w:tcPr>
          <w:p>
            <w:pPr>
              <w:jc w:val="center"/>
            </w:pPr>
          </w:p>
        </w:tc>
        <w:tc>
          <w:tcPr>
            <w:tcW w:type="dxa" w:w="816"/>
            <w:tcBorders>
              <w:top w:val="none" w:color="000000" w:sz="4"/>
              <w:left w:val="single" w:color="000000" w:sz="4"/>
              <w:bottom w:val="single" w:color="000000" w:sz="4"/>
              <w:right w:val="single" w:color="000000" w:sz="4"/>
            </w:tcBorders>
            <w:vAlign w:val="top"/>
          </w:tcPr>
          <w:p>
            <w:pPr>
              <w:jc w:val="center"/>
            </w:pPr>
          </w:p>
        </w:tc>
      </w:tr>
      <w:tr>
        <w:tc>
          <w:tcPr>
            <w:tcW w:type="dxa" w:w="666"/>
            <w:tcBorders>
              <w:top w:val="none" w:color="000000" w:sz="4"/>
              <w:left w:val="single" w:color="000000" w:sz="4"/>
              <w:bottom w:val="single" w:color="000000" w:sz="4"/>
              <w:right w:val="single" w:color="000000" w:sz="4"/>
            </w:tcBorders>
            <w:vAlign w:val="top"/>
          </w:tcPr>
          <w:p>
            <w:pPr>
              <w:jc w:val="center"/>
            </w:pPr>
            <w:r>
              <w:rPr>
                <w:sz w:val="24"/>
              </w:rPr>
              <w:t>3</w:t>
            </w:r>
          </w:p>
        </w:tc>
        <w:tc>
          <w:tcPr>
            <w:tcW w:type="dxa" w:w="1251"/>
            <w:tcBorders>
              <w:top w:val="none" w:color="000000" w:sz="4"/>
              <w:left w:val="single" w:color="000000" w:sz="4"/>
              <w:bottom w:val="single" w:color="000000" w:sz="4"/>
              <w:right w:val="single" w:color="000000" w:sz="4"/>
            </w:tcBorders>
            <w:vAlign w:val="top"/>
          </w:tcPr>
          <w:p>
            <w:pPr>
              <w:jc w:val="center"/>
            </w:pPr>
          </w:p>
        </w:tc>
        <w:tc>
          <w:tcPr>
            <w:tcW w:type="dxa" w:w="2964"/>
            <w:tcBorders>
              <w:top w:val="none" w:color="000000" w:sz="4"/>
              <w:left w:val="single" w:color="000000" w:sz="4"/>
              <w:bottom w:val="single" w:color="000000" w:sz="4"/>
              <w:right w:val="single" w:color="000000" w:sz="4"/>
            </w:tcBorders>
            <w:vAlign w:val="top"/>
          </w:tcPr>
          <w:p>
            <w:pPr>
              <w:jc w:val="center"/>
            </w:pPr>
          </w:p>
        </w:tc>
        <w:tc>
          <w:tcPr>
            <w:tcW w:type="dxa" w:w="816"/>
            <w:tcBorders>
              <w:top w:val="none" w:color="000000" w:sz="4"/>
              <w:left w:val="single" w:color="000000" w:sz="4"/>
              <w:bottom w:val="single" w:color="000000" w:sz="4"/>
              <w:right w:val="single" w:color="000000" w:sz="4"/>
            </w:tcBorders>
            <w:vAlign w:val="top"/>
          </w:tcPr>
          <w:p>
            <w:pPr>
              <w:jc w:val="center"/>
            </w:pPr>
          </w:p>
        </w:tc>
        <w:tc>
          <w:tcPr>
            <w:tcW w:type="dxa" w:w="816"/>
            <w:tcBorders>
              <w:top w:val="none" w:color="000000" w:sz="4"/>
              <w:left w:val="single" w:color="000000" w:sz="4"/>
              <w:bottom w:val="single" w:color="000000" w:sz="4"/>
              <w:right w:val="single" w:color="000000" w:sz="4"/>
            </w:tcBorders>
            <w:vAlign w:val="top"/>
          </w:tcPr>
          <w:p>
            <w:pPr>
              <w:jc w:val="center"/>
            </w:pPr>
          </w:p>
        </w:tc>
        <w:tc>
          <w:tcPr>
            <w:tcW w:type="dxa" w:w="979"/>
            <w:tcBorders>
              <w:top w:val="none" w:color="000000" w:sz="4"/>
              <w:left w:val="single" w:color="000000" w:sz="4"/>
              <w:bottom w:val="single" w:color="000000" w:sz="4"/>
              <w:right w:val="single" w:color="000000" w:sz="4"/>
            </w:tcBorders>
            <w:vAlign w:val="top"/>
          </w:tcPr>
          <w:p>
            <w:pPr>
              <w:jc w:val="center"/>
            </w:pPr>
          </w:p>
        </w:tc>
        <w:tc>
          <w:tcPr>
            <w:tcW w:type="dxa" w:w="816"/>
            <w:tcBorders>
              <w:top w:val="none" w:color="000000" w:sz="4"/>
              <w:left w:val="single" w:color="000000" w:sz="4"/>
              <w:bottom w:val="single" w:color="000000" w:sz="4"/>
              <w:right w:val="single" w:color="000000" w:sz="4"/>
            </w:tcBorders>
            <w:vAlign w:val="top"/>
          </w:tcPr>
          <w:p>
            <w:pPr>
              <w:jc w:val="center"/>
            </w:pPr>
          </w:p>
        </w:tc>
      </w:tr>
      <w:tr>
        <w:tc>
          <w:tcPr>
            <w:tcW w:type="dxa" w:w="8308"/>
            <w:gridSpan w:val="7"/>
            <w:tcBorders>
              <w:top w:val="none" w:color="000000" w:sz="4"/>
              <w:left w:val="single" w:color="000000" w:sz="4"/>
              <w:bottom w:val="single" w:color="000000" w:sz="4"/>
              <w:right w:val="single" w:color="000000" w:sz="4"/>
            </w:tcBorders>
            <w:vAlign w:val="top"/>
          </w:tcPr>
          <w:p>
            <w:pPr>
              <w:jc w:val="center"/>
            </w:pPr>
            <w:r>
              <w:rPr>
                <w:sz w:val="24"/>
              </w:rPr>
              <w:t>合计</w:t>
            </w:r>
            <w:r>
              <w:rPr>
                <w:sz w:val="24"/>
              </w:rPr>
              <w:t>含税</w:t>
            </w:r>
            <w:r>
              <w:rPr>
                <w:sz w:val="24"/>
              </w:rPr>
              <w:t>总额：￥</w:t>
            </w:r>
            <w:r>
              <w:rPr>
                <w:sz w:val="21"/>
                <w:u w:val="single"/>
              </w:rPr>
              <w:t xml:space="preserve">       </w:t>
            </w:r>
            <w:r>
              <w:rPr>
                <w:sz w:val="24"/>
              </w:rPr>
              <w:t>元；大写：</w:t>
            </w:r>
            <w:r>
              <w:rPr>
                <w:sz w:val="21"/>
                <w:u w:val="single"/>
              </w:rPr>
              <w:t xml:space="preserve">           </w:t>
            </w:r>
          </w:p>
        </w:tc>
      </w:tr>
    </w:tbl>
    <w:p>
      <w:pPr>
        <w:ind w:firstLine="480"/>
        <w:jc w:val="both"/>
      </w:pPr>
      <w:r>
        <w:rPr>
          <w:sz w:val="24"/>
        </w:rPr>
        <w:t>合同总额包括乙方设计、安装、随机零配件、标配工具、运输保险、调试、培训、质保期服务、各项税费及合同实施过程中不可预见费用等。</w:t>
      </w:r>
    </w:p>
    <w:p>
      <w:pPr>
        <w:ind w:firstLine="480"/>
        <w:jc w:val="both"/>
      </w:pPr>
      <w:r>
        <w:rPr>
          <w:sz w:val="24"/>
        </w:rPr>
        <w:t>注：货物名称内容必须与投标文件</w:t>
      </w:r>
      <w:r>
        <w:rPr>
          <w:sz w:val="24"/>
        </w:rPr>
        <w:t>/响应文件中货物名称内容一致。</w:t>
      </w:r>
    </w:p>
    <w:p>
      <w:pPr>
        <w:jc w:val="both"/>
      </w:pPr>
      <w:r>
        <w:rPr>
          <w:b/>
          <w:sz w:val="24"/>
        </w:rPr>
        <w:t>二、合同金额：</w:t>
      </w:r>
    </w:p>
    <w:p>
      <w:pPr>
        <w:ind w:firstLine="480"/>
        <w:jc w:val="both"/>
      </w:pPr>
      <w:r>
        <w:rPr>
          <w:sz w:val="24"/>
        </w:rPr>
        <w:t>合同</w:t>
      </w:r>
      <w:r>
        <w:rPr>
          <w:sz w:val="24"/>
        </w:rPr>
        <w:t>含税</w:t>
      </w:r>
      <w:r>
        <w:rPr>
          <w:sz w:val="24"/>
        </w:rPr>
        <w:t>金额为（大写）：</w:t>
      </w:r>
      <w:r>
        <w:rPr>
          <w:sz w:val="21"/>
          <w:u w:val="single"/>
        </w:rPr>
        <w:t xml:space="preserve">     </w:t>
      </w:r>
      <w:r>
        <w:rPr>
          <w:sz w:val="24"/>
        </w:rPr>
        <w:t>元（￥</w:t>
      </w:r>
      <w:r>
        <w:rPr>
          <w:sz w:val="21"/>
          <w:u w:val="single"/>
        </w:rPr>
        <w:t xml:space="preserve">            </w:t>
      </w:r>
      <w:r>
        <w:rPr>
          <w:sz w:val="24"/>
        </w:rPr>
        <w:t>元）人民币。</w:t>
      </w:r>
    </w:p>
    <w:p>
      <w:pPr>
        <w:jc w:val="both"/>
      </w:pPr>
      <w:r>
        <w:rPr>
          <w:b/>
          <w:sz w:val="24"/>
        </w:rPr>
        <w:t>三、设备要求：</w:t>
      </w:r>
    </w:p>
    <w:p>
      <w:pPr>
        <w:ind w:firstLine="480"/>
        <w:jc w:val="both"/>
      </w:pPr>
      <w:r>
        <w:rPr>
          <w:sz w:val="24"/>
        </w:rPr>
        <w:t>1.货物为原制造商制造的全新产品，整机无污染，无侵权行为、表面无划损、无任何缺陷隐患，在中国境内可依常规安全合法使用。</w:t>
      </w:r>
    </w:p>
    <w:p>
      <w:pPr>
        <w:ind w:firstLine="480"/>
        <w:jc w:val="both"/>
      </w:pPr>
      <w:r>
        <w:rPr>
          <w:sz w:val="24"/>
        </w:rPr>
        <w:t>2.交付验收标准</w:t>
      </w:r>
      <w:r>
        <w:rPr>
          <w:sz w:val="24"/>
        </w:rPr>
        <w:t>依次序对照适用标准为：</w:t>
      </w:r>
      <w:r>
        <w:rPr>
          <w:sz w:val="24"/>
        </w:rPr>
        <w:t>①符合中华人民共和国国家安全质量标准、环保标准或行业标准；②符合采购文件和响应承诺中甲方认可的合理最佳配置、参数及各项要求；③货物来源国官方标准。</w:t>
      </w:r>
    </w:p>
    <w:p>
      <w:pPr>
        <w:ind w:firstLine="480"/>
        <w:jc w:val="both"/>
      </w:pPr>
      <w:r>
        <w:rPr>
          <w:sz w:val="24"/>
        </w:rPr>
        <w:t>3.进口产品（如有）必须具备原产地证明和商检局的检验证明及合法进货渠道证明。</w:t>
      </w:r>
    </w:p>
    <w:p>
      <w:pPr>
        <w:ind w:firstLine="480"/>
        <w:jc w:val="both"/>
      </w:pPr>
      <w:r>
        <w:rPr>
          <w:sz w:val="24"/>
        </w:rPr>
        <w:t>4.货物为原厂商未启封全新包装，具出厂合格证，序列号、包装箱号与出厂批号一致，并可追索查阅。</w:t>
      </w:r>
    </w:p>
    <w:p>
      <w:pPr>
        <w:ind w:firstLine="480"/>
        <w:jc w:val="both"/>
      </w:pPr>
      <w:r>
        <w:rPr>
          <w:sz w:val="24"/>
        </w:rPr>
        <w:t>5.乙方应将关键主机设备的用户手册、保修手册、有关单证资料及配备件、随机工具等交付给甲方，使用操作及安全须知等重要资料应附有中文说明。</w:t>
      </w:r>
    </w:p>
    <w:p>
      <w:pPr>
        <w:jc w:val="both"/>
      </w:pPr>
      <w:r>
        <w:rPr>
          <w:b/>
          <w:sz w:val="24"/>
        </w:rPr>
        <w:t>四、交货期、交货方式及交货地点：</w:t>
      </w:r>
    </w:p>
    <w:p>
      <w:pPr>
        <w:ind w:firstLine="480"/>
        <w:jc w:val="both"/>
      </w:pPr>
      <w:r>
        <w:rPr>
          <w:sz w:val="24"/>
        </w:rPr>
        <w:t>1.交货期：</w:t>
      </w:r>
    </w:p>
    <w:p>
      <w:pPr>
        <w:ind w:firstLine="480"/>
        <w:jc w:val="both"/>
      </w:pPr>
      <w:r>
        <w:rPr>
          <w:sz w:val="24"/>
        </w:rPr>
        <w:t>2.交货方式：</w:t>
      </w:r>
    </w:p>
    <w:p>
      <w:pPr>
        <w:ind w:firstLine="480"/>
        <w:jc w:val="both"/>
      </w:pPr>
      <w:r>
        <w:rPr>
          <w:sz w:val="24"/>
        </w:rPr>
        <w:t>3.交货地点：</w:t>
      </w:r>
    </w:p>
    <w:p>
      <w:pPr>
        <w:jc w:val="both"/>
      </w:pPr>
      <w:r>
        <w:rPr>
          <w:b/>
          <w:sz w:val="24"/>
        </w:rPr>
        <w:t>五、付款方式：</w:t>
      </w:r>
    </w:p>
    <w:p>
      <w:pPr>
        <w:ind w:firstLine="480"/>
        <w:jc w:val="both"/>
      </w:pPr>
      <w:r>
        <w:rPr>
          <w:sz w:val="24"/>
        </w:rPr>
        <w:t>1期：支付10%。(1)签订合同后30日内支付合同总金额的10%作为项目预付款；</w:t>
      </w:r>
    </w:p>
    <w:p>
      <w:pPr>
        <w:ind w:firstLine="480"/>
        <w:jc w:val="both"/>
      </w:pPr>
      <w:r>
        <w:rPr>
          <w:sz w:val="24"/>
        </w:rPr>
        <w:t>2期：支付30%。（2）项目完工之日起30日内支付合同总金额的30%；</w:t>
      </w:r>
    </w:p>
    <w:p>
      <w:pPr>
        <w:ind w:firstLine="480"/>
        <w:jc w:val="both"/>
      </w:pPr>
      <w:r>
        <w:rPr>
          <w:sz w:val="24"/>
        </w:rPr>
        <w:t>3期：支付50%。（3）项目终验合格后30日内支付合同总金额的50%；</w:t>
      </w:r>
    </w:p>
    <w:p>
      <w:pPr>
        <w:ind w:firstLine="480"/>
        <w:jc w:val="both"/>
      </w:pPr>
      <w:r>
        <w:rPr>
          <w:sz w:val="24"/>
        </w:rPr>
        <w:t>4期：支付10%。（4）项目维护期结束后30日内支付合同总金额的10%。</w:t>
      </w:r>
    </w:p>
    <w:p>
      <w:pPr>
        <w:ind w:firstLine="480"/>
        <w:jc w:val="both"/>
      </w:pPr>
      <w:r>
        <w:rPr>
          <w:sz w:val="24"/>
        </w:rPr>
        <w:t>注：</w:t>
      </w:r>
      <w:r>
        <w:rPr>
          <w:sz w:val="24"/>
        </w:rPr>
        <w:t>1.因采购人使用财政资金的，采购人在前款规定的付款时间为向政府采购支付部门提出办理财政支付申请手续的时间（不含政府财政支付部门审核的时间），在规定时间内提出支付申请手续后即视为采购人已经按期支付。2.中标人凭以下有效文件与采购人结算：1）合同；2）中标人开具的正式发票；3）验收报告；4）中标(成交)通知书。</w:t>
      </w:r>
    </w:p>
    <w:p>
      <w:pPr>
        <w:jc w:val="both"/>
      </w:pPr>
      <w:r>
        <w:rPr>
          <w:b/>
          <w:sz w:val="24"/>
        </w:rPr>
        <w:t>六、</w:t>
      </w:r>
      <w:r>
        <w:rPr>
          <w:b/>
          <w:sz w:val="24"/>
        </w:rPr>
        <w:t>运维期</w:t>
      </w:r>
      <w:r>
        <w:rPr>
          <w:b/>
          <w:sz w:val="24"/>
        </w:rPr>
        <w:t>及售后服务要求：</w:t>
      </w:r>
    </w:p>
    <w:p>
      <w:pPr>
        <w:ind w:firstLine="480"/>
        <w:jc w:val="both"/>
      </w:pPr>
      <w:r>
        <w:rPr>
          <w:sz w:val="24"/>
        </w:rPr>
        <w:t>1.本合同的</w:t>
      </w:r>
      <w:r>
        <w:rPr>
          <w:sz w:val="24"/>
        </w:rPr>
        <w:t>运营维护期</w:t>
      </w:r>
      <w:r>
        <w:rPr>
          <w:sz w:val="24"/>
        </w:rPr>
        <w:t>（简称</w:t>
      </w:r>
      <w:r>
        <w:rPr>
          <w:sz w:val="24"/>
        </w:rPr>
        <w:t>“</w:t>
      </w:r>
      <w:r>
        <w:rPr>
          <w:sz w:val="24"/>
        </w:rPr>
        <w:t>运维期</w:t>
      </w:r>
      <w:r>
        <w:rPr>
          <w:sz w:val="24"/>
        </w:rPr>
        <w:t>”）为</w:t>
      </w:r>
      <w:r>
        <w:rPr>
          <w:sz w:val="21"/>
          <w:u w:val="single"/>
        </w:rPr>
        <w:t xml:space="preserve">     </w:t>
      </w:r>
      <w:r>
        <w:rPr>
          <w:sz w:val="24"/>
        </w:rPr>
        <w:t>年，</w:t>
      </w:r>
      <w:r>
        <w:rPr>
          <w:sz w:val="24"/>
        </w:rPr>
        <w:t>运维期</w:t>
      </w:r>
      <w:r>
        <w:rPr>
          <w:sz w:val="24"/>
        </w:rPr>
        <w:t>内乙方对所供货物实行包</w:t>
      </w:r>
      <w:r>
        <w:rPr>
          <w:sz w:val="24"/>
        </w:rPr>
        <w:t>修、包换、包退、包维护保养，期满后可同时提供终身有偿维修保养服务</w:t>
      </w:r>
      <w:r>
        <w:rPr>
          <w:sz w:val="24"/>
        </w:rPr>
        <w:t>。</w:t>
      </w:r>
    </w:p>
    <w:p>
      <w:pPr>
        <w:ind w:firstLine="480"/>
        <w:jc w:val="both"/>
      </w:pPr>
      <w:r>
        <w:rPr>
          <w:sz w:val="24"/>
        </w:rPr>
        <w:t>2.</w:t>
      </w:r>
      <w:r>
        <w:rPr>
          <w:sz w:val="24"/>
        </w:rPr>
        <w:t>运维期</w:t>
      </w:r>
      <w:r>
        <w:rPr>
          <w:sz w:val="24"/>
        </w:rPr>
        <w:t>内，如设备或零部件因非人为因素出现故障而造成短期停用时，则</w:t>
      </w:r>
      <w:r>
        <w:rPr>
          <w:sz w:val="24"/>
        </w:rPr>
        <w:t>运维期</w:t>
      </w:r>
      <w:r>
        <w:rPr>
          <w:sz w:val="24"/>
        </w:rPr>
        <w:t>和免费维修期相应顺延。如停用时间累计超过</w:t>
      </w:r>
      <w:r>
        <w:rPr>
          <w:sz w:val="24"/>
        </w:rPr>
        <w:t>60天则</w:t>
      </w:r>
      <w:r>
        <w:rPr>
          <w:sz w:val="24"/>
        </w:rPr>
        <w:t>运维期</w:t>
      </w:r>
      <w:r>
        <w:rPr>
          <w:sz w:val="24"/>
        </w:rPr>
        <w:t>重新计算。</w:t>
      </w:r>
    </w:p>
    <w:p>
      <w:pPr>
        <w:ind w:firstLine="480"/>
        <w:jc w:val="both"/>
      </w:pPr>
      <w:r>
        <w:rPr>
          <w:sz w:val="24"/>
        </w:rPr>
        <w:t>3.对甲方的服务通知，乙方在接报后</w:t>
      </w:r>
      <w:r>
        <w:rPr>
          <w:sz w:val="21"/>
          <w:u w:val="single"/>
        </w:rPr>
        <w:t xml:space="preserve">   </w:t>
      </w:r>
      <w:r>
        <w:rPr>
          <w:sz w:val="24"/>
        </w:rPr>
        <w:t>小时内响应，</w:t>
      </w:r>
      <w:r>
        <w:rPr>
          <w:sz w:val="21"/>
          <w:u w:val="single"/>
        </w:rPr>
        <w:t xml:space="preserve">   </w:t>
      </w:r>
      <w:r>
        <w:rPr>
          <w:sz w:val="24"/>
        </w:rPr>
        <w:t>小时内到达现场，</w:t>
      </w:r>
      <w:r>
        <w:rPr>
          <w:sz w:val="21"/>
          <w:u w:val="single"/>
        </w:rPr>
        <w:t xml:space="preserve">   </w:t>
      </w:r>
      <w:r>
        <w:rPr>
          <w:sz w:val="24"/>
        </w:rPr>
        <w:t>小时内处理完毕。若在</w:t>
      </w:r>
      <w:r>
        <w:rPr>
          <w:sz w:val="21"/>
          <w:u w:val="single"/>
        </w:rPr>
        <w:t xml:space="preserve">   </w:t>
      </w:r>
      <w:r>
        <w:rPr>
          <w:sz w:val="24"/>
        </w:rPr>
        <w:t>小时内仍未能有效解决，乙方须免费提供同档的设备予甲方临时使用。</w:t>
      </w:r>
    </w:p>
    <w:p>
      <w:pPr>
        <w:jc w:val="both"/>
      </w:pPr>
      <w:r>
        <w:rPr>
          <w:b/>
          <w:sz w:val="24"/>
        </w:rPr>
        <w:t>七、安装与调试</w:t>
      </w:r>
      <w:r>
        <w:rPr>
          <w:b/>
          <w:sz w:val="24"/>
        </w:rPr>
        <w:t>:</w:t>
      </w:r>
    </w:p>
    <w:p>
      <w:pPr>
        <w:ind w:firstLine="480"/>
        <w:jc w:val="both"/>
      </w:pPr>
      <w:r>
        <w:rPr>
          <w:sz w:val="24"/>
        </w:rPr>
        <w:t>1</w:t>
      </w:r>
      <w:r>
        <w:rPr>
          <w:sz w:val="24"/>
        </w:rPr>
        <w:t>.</w:t>
      </w:r>
      <w:r>
        <w:rPr>
          <w:sz w:val="24"/>
        </w:rPr>
        <w:t>安装、调试必须按照国家标准和行业规范进行。</w:t>
      </w:r>
    </w:p>
    <w:p>
      <w:pPr>
        <w:ind w:firstLine="480"/>
        <w:jc w:val="both"/>
      </w:pPr>
      <w:r>
        <w:rPr>
          <w:sz w:val="24"/>
        </w:rPr>
        <w:t>2</w:t>
      </w:r>
      <w:r>
        <w:rPr>
          <w:sz w:val="24"/>
        </w:rPr>
        <w:t>.</w:t>
      </w:r>
      <w:r>
        <w:rPr>
          <w:sz w:val="24"/>
        </w:rPr>
        <w:t>安装：中标人负责到各品目不同的指定地点进行安装调试。中标人应提交详细安装进度表。中标人应设安装负责人，负责安装协调管理工作。安装所需工具设施物料由中标人自备、自费运到现场，完工后自费搬走。</w:t>
      </w:r>
    </w:p>
    <w:p>
      <w:pPr>
        <w:ind w:firstLine="480"/>
        <w:jc w:val="both"/>
      </w:pPr>
      <w:r>
        <w:rPr>
          <w:sz w:val="24"/>
        </w:rPr>
        <w:t>3</w:t>
      </w:r>
      <w:r>
        <w:rPr>
          <w:sz w:val="24"/>
        </w:rPr>
        <w:t>.</w:t>
      </w:r>
      <w:r>
        <w:rPr>
          <w:sz w:val="24"/>
        </w:rPr>
        <w:t>调试：按国家相关施工验收规范进行，分阶段进行调试。设备的拆箱、安装、通电、调试等项工作由中标人负责，但必须在采购人指定人员的参与下进行。调试的原始记录须经各方签字后作为验收的文件之一。</w:t>
      </w:r>
    </w:p>
    <w:p>
      <w:pPr>
        <w:ind w:firstLine="480"/>
        <w:jc w:val="both"/>
      </w:pPr>
      <w:r>
        <w:rPr>
          <w:sz w:val="24"/>
        </w:rPr>
        <w:t>4</w:t>
      </w:r>
      <w:r>
        <w:rPr>
          <w:sz w:val="24"/>
        </w:rPr>
        <w:t>.</w:t>
      </w:r>
      <w:r>
        <w:rPr>
          <w:sz w:val="24"/>
        </w:rPr>
        <w:t>投标人所提供的设备如在实际供货时已经废型，则中标人必须用供货时该厂家的最新产品提供给采购人单位，其性能指标不得低于所报设备，并且价格不变。</w:t>
      </w:r>
    </w:p>
    <w:p>
      <w:pPr>
        <w:ind w:firstLine="480"/>
        <w:jc w:val="both"/>
      </w:pPr>
      <w:r>
        <w:rPr>
          <w:sz w:val="24"/>
        </w:rPr>
        <w:t>5</w:t>
      </w:r>
      <w:r>
        <w:rPr>
          <w:sz w:val="24"/>
        </w:rPr>
        <w:t>.</w:t>
      </w:r>
      <w:r>
        <w:rPr>
          <w:sz w:val="24"/>
        </w:rPr>
        <w:t>中标人须对货物设计、制造、安装以及使用过程中的一切质量问题承担责任。</w:t>
      </w:r>
    </w:p>
    <w:p>
      <w:pPr>
        <w:ind w:firstLine="480"/>
        <w:jc w:val="both"/>
      </w:pPr>
      <w:r>
        <w:rPr>
          <w:sz w:val="24"/>
        </w:rPr>
        <w:t>6</w:t>
      </w:r>
      <w:r>
        <w:rPr>
          <w:sz w:val="24"/>
        </w:rPr>
        <w:t>.</w:t>
      </w:r>
      <w:r>
        <w:rPr>
          <w:sz w:val="24"/>
        </w:rPr>
        <w:t>货物的安装、改造、维修活动结束后，中标人应当按照项目要求或安全技术规范的要求对货物进行校验和调试，并对校验和调试结果负责。</w:t>
      </w:r>
    </w:p>
    <w:p>
      <w:pPr>
        <w:ind w:firstLine="480"/>
        <w:jc w:val="both"/>
      </w:pPr>
      <w:r>
        <w:rPr>
          <w:sz w:val="24"/>
        </w:rPr>
        <w:t>7</w:t>
      </w:r>
      <w:r>
        <w:rPr>
          <w:sz w:val="24"/>
        </w:rPr>
        <w:t>.</w:t>
      </w:r>
      <w:r>
        <w:rPr>
          <w:sz w:val="24"/>
        </w:rPr>
        <w:t>中标人所提供货物安装调试及保养维修服务的队伍必须有足够能力承担货物的安装工程，并能保证安装的货物运行合格和施工安全要求。</w:t>
      </w:r>
    </w:p>
    <w:p>
      <w:pPr>
        <w:ind w:firstLine="480"/>
        <w:jc w:val="both"/>
      </w:pPr>
      <w:r>
        <w:rPr>
          <w:sz w:val="24"/>
        </w:rPr>
        <w:t>8</w:t>
      </w:r>
      <w:r>
        <w:rPr>
          <w:sz w:val="24"/>
        </w:rPr>
        <w:t>.</w:t>
      </w:r>
      <w:r>
        <w:rPr>
          <w:sz w:val="24"/>
        </w:rPr>
        <w:t>中标人应保证在接到采购人进场安装通知后，才把货物运到安装现场进行安装，并且会同采购人进行初步的外观检查，货物由中标人负责保管，并且允许采购人随时进场抽检。</w:t>
      </w:r>
    </w:p>
    <w:p>
      <w:pPr>
        <w:ind w:firstLine="480"/>
        <w:jc w:val="both"/>
      </w:pPr>
      <w:r>
        <w:rPr>
          <w:sz w:val="24"/>
        </w:rPr>
        <w:t>9</w:t>
      </w:r>
      <w:r>
        <w:rPr>
          <w:sz w:val="24"/>
        </w:rPr>
        <w:t>.</w:t>
      </w:r>
      <w:r>
        <w:rPr>
          <w:sz w:val="24"/>
        </w:rPr>
        <w:t>中标人在供货及安装过程中，必须服从采购人的计划安排和整体协调。</w:t>
      </w:r>
    </w:p>
    <w:p>
      <w:pPr>
        <w:ind w:firstLine="480"/>
        <w:jc w:val="both"/>
      </w:pPr>
      <w:r>
        <w:rPr>
          <w:sz w:val="24"/>
        </w:rPr>
        <w:t>10</w:t>
      </w:r>
      <w:r>
        <w:rPr>
          <w:sz w:val="24"/>
        </w:rPr>
        <w:t>.</w:t>
      </w:r>
      <w:r>
        <w:rPr>
          <w:sz w:val="24"/>
        </w:rPr>
        <w:t>安装期间，中标人为本项目派出的服务人员须遵守采购人有关制度，因本项目安装等相关工作引起的消防事故或人员伤亡事故，由中标人承担一切经济、法律责任。</w:t>
      </w:r>
    </w:p>
    <w:p>
      <w:pPr>
        <w:jc w:val="both"/>
      </w:pPr>
      <w:r>
        <w:rPr>
          <w:b/>
          <w:sz w:val="24"/>
        </w:rPr>
        <w:t>八、</w:t>
      </w:r>
      <w:r>
        <w:rPr>
          <w:b/>
          <w:sz w:val="24"/>
        </w:rPr>
        <w:t>培训要求：</w:t>
      </w:r>
    </w:p>
    <w:p>
      <w:pPr>
        <w:ind w:firstLine="480"/>
        <w:jc w:val="both"/>
      </w:pPr>
      <w:r>
        <w:rPr>
          <w:sz w:val="24"/>
        </w:rPr>
        <w:t>中标人</w:t>
      </w:r>
      <w:r>
        <w:rPr>
          <w:sz w:val="24"/>
        </w:rPr>
        <w:t>须派遣有经验的技术人员或工程师，前往采购人单位进行优质的培训服务。对货物的使用、操作、注意事项和维修进行免费培训，并提供安装使用维护说明书，确保采购人能够对货物有足够的了解和熟悉，能够独立进行设备的日常维护、保养，培训的一切资料由</w:t>
      </w:r>
      <w:r>
        <w:rPr>
          <w:sz w:val="24"/>
        </w:rPr>
        <w:t>中标人</w:t>
      </w:r>
      <w:r>
        <w:rPr>
          <w:sz w:val="24"/>
        </w:rPr>
        <w:t>免费提供。</w:t>
      </w:r>
    </w:p>
    <w:p>
      <w:pPr>
        <w:jc w:val="both"/>
      </w:pPr>
      <w:r>
        <w:rPr>
          <w:b/>
          <w:sz w:val="24"/>
        </w:rPr>
        <w:t>九、施工及运行维护安全要求：</w:t>
      </w:r>
    </w:p>
    <w:p>
      <w:pPr>
        <w:ind w:firstLine="480"/>
        <w:jc w:val="both"/>
      </w:pPr>
      <w:r>
        <w:rPr>
          <w:sz w:val="24"/>
        </w:rPr>
        <w:t>1.施工安全要求：中标人在工程建设阶段必须按照国家及行业相关安全法律法规组织施工，确保不发生安全事故。如发生施工安全事故，由中标人承担所有责任。</w:t>
      </w:r>
    </w:p>
    <w:p>
      <w:pPr>
        <w:ind w:firstLine="480"/>
        <w:jc w:val="both"/>
      </w:pPr>
      <w:r>
        <w:rPr>
          <w:sz w:val="24"/>
        </w:rPr>
        <w:t>2.运行维护安全要求：中标人必须遵照国家及行业相关安全法律法规组织日常系统运行维护，确保不发生安全事故。如发生安全事故，由中标人承担所有责任。</w:t>
      </w:r>
    </w:p>
    <w:p>
      <w:pPr>
        <w:jc w:val="both"/>
      </w:pPr>
      <w:r>
        <w:rPr>
          <w:b/>
          <w:sz w:val="24"/>
        </w:rPr>
        <w:t>十</w:t>
      </w:r>
      <w:r>
        <w:rPr>
          <w:b/>
          <w:sz w:val="24"/>
        </w:rPr>
        <w:t>、验收：</w:t>
      </w:r>
    </w:p>
    <w:p>
      <w:pPr>
        <w:ind w:firstLine="480"/>
        <w:jc w:val="both"/>
      </w:pPr>
      <w:r>
        <w:rPr>
          <w:sz w:val="24"/>
        </w:rPr>
        <w:t>1.货物若有国家标准按照国家标准验收，若无国家标准按行业标准验收，为原制造商制造的全新产品，整机无污染，无侵权行为、表面无划损、无任何缺陷隐患，在中国境内可依常规安全合法使用。</w:t>
      </w:r>
    </w:p>
    <w:p>
      <w:pPr>
        <w:ind w:firstLine="480"/>
        <w:jc w:val="both"/>
      </w:pPr>
      <w:r>
        <w:rPr>
          <w:sz w:val="24"/>
        </w:rPr>
        <w:t>2.进口产品必须具备原产地证明和商检局的检验证明及合法进货渠道证明。评审小组在各投标人的报价有限期内有权要求投标人提供进口货物的报关单。</w:t>
      </w:r>
    </w:p>
    <w:p>
      <w:pPr>
        <w:ind w:firstLine="480"/>
        <w:jc w:val="both"/>
      </w:pPr>
      <w:r>
        <w:rPr>
          <w:sz w:val="24"/>
        </w:rPr>
        <w:t>3.货物为原厂商未启封全新包装，具出厂合格证，序列号、包装箱号与出厂批号一致，并可追索查阅。所有随设备的附件必须齐全。</w:t>
      </w:r>
    </w:p>
    <w:p>
      <w:pPr>
        <w:ind w:firstLine="480"/>
        <w:jc w:val="both"/>
      </w:pPr>
      <w:r>
        <w:rPr>
          <w:sz w:val="24"/>
        </w:rPr>
        <w:t>4.乙方应将关键主机设备的用户手册、保修手册、有关单证资料及配备件、随机工具等交付给甲方，使用操作及安全须知等重要资料应附有中文说明。</w:t>
      </w:r>
    </w:p>
    <w:p>
      <w:pPr>
        <w:ind w:firstLine="480"/>
        <w:jc w:val="both"/>
      </w:pPr>
      <w:r>
        <w:rPr>
          <w:sz w:val="24"/>
        </w:rPr>
        <w:t>5.甲方组成验收小组按国家有关规定、规范进行验收，必要时邀请相关的专业人员或机构参与验收。因货物质量问题发生争议时，由本地质量技术监督部门鉴定。货物符合质量技术标准的，鉴定费由甲方承担；否则鉴定费由乙方承担。</w:t>
      </w:r>
    </w:p>
    <w:p>
      <w:pPr>
        <w:jc w:val="both"/>
      </w:pPr>
      <w:r>
        <w:rPr>
          <w:b/>
          <w:sz w:val="24"/>
        </w:rPr>
        <w:t>十一</w:t>
      </w:r>
      <w:r>
        <w:rPr>
          <w:b/>
          <w:sz w:val="24"/>
        </w:rPr>
        <w:t>、违约责任与赔偿损失：</w:t>
      </w:r>
    </w:p>
    <w:p>
      <w:pPr>
        <w:ind w:firstLine="480"/>
        <w:jc w:val="both"/>
      </w:pPr>
      <w:r>
        <w:rPr>
          <w:sz w:val="24"/>
        </w:rPr>
        <w:t>1.乙方交付的货物、工程/提供的服务不符合采购文件、投标文件/响应文件或本合同规定的，甲方有权拒收，并且乙方须向甲方支付本合同总价5%的违约金</w:t>
      </w:r>
      <w:r>
        <w:rPr>
          <w:sz w:val="24"/>
        </w:rPr>
        <w:t>和赔偿损失</w:t>
      </w:r>
      <w:r>
        <w:rPr>
          <w:sz w:val="24"/>
        </w:rPr>
        <w:t>。</w:t>
      </w:r>
    </w:p>
    <w:p>
      <w:pPr>
        <w:ind w:firstLine="480"/>
        <w:jc w:val="both"/>
      </w:pPr>
      <w:r>
        <w:rPr>
          <w:sz w:val="24"/>
        </w:rPr>
        <w:t>2.乙方未能按本合同规定的交货时间交付货物的/提供服务，从逾期之日起每日按本合同总价3‰的数额向甲方支付违约金；逾期半个月以上的，甲方有权终止合同，由此造成的甲方经济损失由乙方承担。</w:t>
      </w:r>
    </w:p>
    <w:p>
      <w:pPr>
        <w:ind w:firstLine="480"/>
        <w:jc w:val="both"/>
      </w:pPr>
      <w:r>
        <w:rPr>
          <w:sz w:val="24"/>
        </w:rPr>
        <w:t>3</w:t>
      </w:r>
      <w:r>
        <w:rPr>
          <w:sz w:val="24"/>
        </w:rPr>
        <w:t>.其它违约责任按《中华人民共和国民法典》</w:t>
      </w:r>
      <w:r>
        <w:rPr>
          <w:sz w:val="24"/>
        </w:rPr>
        <w:t>等相关法律法规的规定</w:t>
      </w:r>
      <w:r>
        <w:rPr>
          <w:sz w:val="24"/>
        </w:rPr>
        <w:t>处理。</w:t>
      </w:r>
    </w:p>
    <w:p>
      <w:pPr>
        <w:jc w:val="both"/>
      </w:pPr>
      <w:r>
        <w:rPr>
          <w:b/>
          <w:sz w:val="24"/>
        </w:rPr>
        <w:t>十二</w:t>
      </w:r>
      <w:r>
        <w:rPr>
          <w:b/>
          <w:sz w:val="24"/>
        </w:rPr>
        <w:t>、</w:t>
      </w:r>
      <w:r>
        <w:rPr>
          <w:b/>
          <w:sz w:val="24"/>
        </w:rPr>
        <w:t>现场踏勘及答疑会：</w:t>
      </w:r>
    </w:p>
    <w:p>
      <w:pPr>
        <w:ind w:firstLine="480"/>
        <w:jc w:val="both"/>
      </w:pPr>
      <w:r>
        <w:rPr>
          <w:sz w:val="24"/>
        </w:rPr>
        <w:t>本项目不举行现场踏勘及答疑会，</w:t>
      </w:r>
      <w:r>
        <w:rPr>
          <w:sz w:val="24"/>
        </w:rPr>
        <w:t>投标人</w:t>
      </w:r>
      <w:r>
        <w:rPr>
          <w:sz w:val="24"/>
        </w:rPr>
        <w:t>如有疑问，可以书面形式在规定时间内直接向采购人或采购代理机构提出澄清要求。</w:t>
      </w:r>
    </w:p>
    <w:p>
      <w:pPr>
        <w:jc w:val="both"/>
      </w:pPr>
      <w:r>
        <w:rPr>
          <w:b/>
          <w:sz w:val="24"/>
        </w:rPr>
        <w:t>十三、</w:t>
      </w:r>
      <w:r>
        <w:rPr>
          <w:b/>
          <w:sz w:val="24"/>
        </w:rPr>
        <w:t>保密要求：</w:t>
      </w:r>
    </w:p>
    <w:p>
      <w:pPr>
        <w:ind w:firstLine="480"/>
        <w:jc w:val="both"/>
      </w:pPr>
      <w:r>
        <w:rPr>
          <w:sz w:val="24"/>
        </w:rPr>
        <w:t>因本项目涉及到公安内部信息系统数据库及网络，中标人在项目实施过程中须严格遵守采购人相关信息安全及签订保密协议，中标人必须对项目实施过程中涉及的国家机密、公安工作秘密、业务需求、协议、系统设计、技术成果等内容和相关事务保密，严格遵守保密协议的相关规定。项目验收后，中标人应将本项目所有资料移交给采购人，不允许保留相关材料。否则，采购人有权追究中标人的相关法律责任。</w:t>
      </w:r>
    </w:p>
    <w:p>
      <w:pPr>
        <w:jc w:val="both"/>
      </w:pPr>
      <w:r>
        <w:rPr>
          <w:b/>
          <w:sz w:val="24"/>
        </w:rPr>
        <w:t>十</w:t>
      </w:r>
      <w:r>
        <w:rPr>
          <w:b/>
          <w:sz w:val="24"/>
        </w:rPr>
        <w:t>四</w:t>
      </w:r>
      <w:r>
        <w:rPr>
          <w:b/>
          <w:sz w:val="24"/>
        </w:rPr>
        <w:t>、争议的解决：</w:t>
      </w:r>
      <w:r>
        <w:rPr>
          <w:sz w:val="24"/>
        </w:rPr>
        <w:t>合同执行过程中发生的任何争议，如双方不能通过友好协商解决，一方有权向甲方所在地人民法院提起诉讼。</w:t>
      </w:r>
    </w:p>
    <w:p>
      <w:pPr>
        <w:jc w:val="both"/>
      </w:pPr>
      <w:r>
        <w:rPr>
          <w:b/>
          <w:sz w:val="24"/>
        </w:rPr>
        <w:t>十</w:t>
      </w:r>
      <w:r>
        <w:rPr>
          <w:b/>
          <w:sz w:val="24"/>
        </w:rPr>
        <w:t>五</w:t>
      </w:r>
      <w:r>
        <w:rPr>
          <w:b/>
          <w:sz w:val="24"/>
        </w:rPr>
        <w:t>、不可抗力</w:t>
      </w:r>
      <w:r>
        <w:rPr>
          <w:sz w:val="24"/>
        </w:rPr>
        <w:t>：任何一方由于不可抗力原因不能履行合同时，应在不可抗力事件结束后</w:t>
      </w:r>
      <w:r>
        <w:rPr>
          <w:sz w:val="24"/>
        </w:rPr>
        <w:t>1日内向对方通报，以减轻可能给对方造成的损失，在取得有关机构的不可抗力证明或双方谅解确认后，允许延期履行或修订合同，并根据情况可部分或全部免于承担违约责任。</w:t>
      </w:r>
    </w:p>
    <w:p>
      <w:pPr>
        <w:jc w:val="both"/>
      </w:pPr>
      <w:r>
        <w:rPr>
          <w:b/>
          <w:sz w:val="24"/>
        </w:rPr>
        <w:t>十</w:t>
      </w:r>
      <w:r>
        <w:rPr>
          <w:b/>
          <w:sz w:val="24"/>
        </w:rPr>
        <w:t>六</w:t>
      </w:r>
      <w:r>
        <w:rPr>
          <w:b/>
          <w:sz w:val="24"/>
        </w:rPr>
        <w:t>、税费</w:t>
      </w:r>
      <w:r>
        <w:rPr>
          <w:b/>
          <w:sz w:val="24"/>
        </w:rPr>
        <w:t>与工人工资保障及保险</w:t>
      </w:r>
      <w:r>
        <w:rPr>
          <w:b/>
          <w:sz w:val="24"/>
        </w:rPr>
        <w:t>：</w:t>
      </w:r>
    </w:p>
    <w:p>
      <w:pPr>
        <w:ind w:firstLine="480"/>
        <w:jc w:val="both"/>
      </w:pPr>
      <w:r>
        <w:rPr>
          <w:sz w:val="24"/>
        </w:rPr>
        <w:t>1.</w:t>
      </w:r>
      <w:r>
        <w:rPr>
          <w:sz w:val="24"/>
        </w:rPr>
        <w:t>在中国境内、外发生的与本合同执行有关的一切税费均由乙方负担。</w:t>
      </w:r>
    </w:p>
    <w:p>
      <w:r>
        <w:rPr>
          <w:sz w:val="24"/>
        </w:rPr>
        <w:t>2.乙方必须严格落实《保障农民工工资支付条例》（国令第724号），在签订施工合同后30日内落实《条例》内容。一是落实实名制管理；二是落实分账制管理，中标人应当每月足额发放工人工资；三是必须落实农民工工资担保制度。</w:t>
      </w:r>
    </w:p>
    <w:p>
      <w:r>
        <w:rPr>
          <w:sz w:val="24"/>
        </w:rPr>
        <w:t>3.在本合同工程的施工和缺陷修复过程中，乙方应对工程一切险及第三方责任险进行投保，对其人身安全、财产损失及第三方责任负责，并提供保险凭证；若不投保，则责任自负，业主不承担任何责任，并且不降低承包人应负的合同义务。乙方应当根据《民法典》要求，依法为职工参加工伤保险缴纳工伤保险费。鼓励为从事危险作业的职工办法意外伤害保险，支付保险费。</w:t>
      </w:r>
    </w:p>
    <w:p>
      <w:pPr>
        <w:jc w:val="both"/>
      </w:pPr>
      <w:r>
        <w:rPr>
          <w:b/>
          <w:sz w:val="24"/>
        </w:rPr>
        <w:t>十</w:t>
      </w:r>
      <w:r>
        <w:rPr>
          <w:b/>
          <w:sz w:val="24"/>
        </w:rPr>
        <w:t>七</w:t>
      </w:r>
      <w:r>
        <w:rPr>
          <w:b/>
          <w:sz w:val="24"/>
        </w:rPr>
        <w:t>、其它：</w:t>
      </w:r>
    </w:p>
    <w:p>
      <w:pPr>
        <w:ind w:firstLine="480"/>
        <w:jc w:val="both"/>
      </w:pPr>
      <w:r>
        <w:rPr>
          <w:sz w:val="24"/>
        </w:rPr>
        <w:t>1.本合同所有附件、采购文件、投标文件/响应文件、中标（成交）通知书均为合同的有效组成部分，与本合同具有同等法律效力。</w:t>
      </w:r>
    </w:p>
    <w:p>
      <w:pPr>
        <w:ind w:firstLine="480"/>
        <w:jc w:val="both"/>
      </w:pPr>
      <w:r>
        <w:rPr>
          <w:sz w:val="24"/>
        </w:rPr>
        <w:t>2.在执行本合同的过程中，所有经双方签署确认的文件（包括会议纪要、补充协议、往来信函）即成为本合同的有效组成部分。</w:t>
      </w:r>
    </w:p>
    <w:p>
      <w:pPr>
        <w:ind w:firstLine="480"/>
        <w:jc w:val="both"/>
      </w:pPr>
      <w:r>
        <w:rPr>
          <w:sz w:val="24"/>
        </w:rPr>
        <w:t>3.如一方地址、电话、传真号码有变更，应在变更当日内书面通知对方，否则，应承担相应责任。</w:t>
      </w:r>
    </w:p>
    <w:p>
      <w:pPr>
        <w:ind w:firstLine="480"/>
        <w:jc w:val="both"/>
      </w:pPr>
      <w:r>
        <w:rPr>
          <w:sz w:val="24"/>
        </w:rPr>
        <w:t>4.除甲方事先书面同意外，乙方不得部分或全部转让其应履行的合同项下的义务。</w:t>
      </w:r>
    </w:p>
    <w:p>
      <w:pPr>
        <w:jc w:val="both"/>
      </w:pPr>
      <w:r>
        <w:rPr>
          <w:b/>
          <w:sz w:val="24"/>
        </w:rPr>
        <w:t>十</w:t>
      </w:r>
      <w:r>
        <w:rPr>
          <w:b/>
          <w:sz w:val="24"/>
        </w:rPr>
        <w:t>八</w:t>
      </w:r>
      <w:r>
        <w:rPr>
          <w:b/>
          <w:sz w:val="24"/>
        </w:rPr>
        <w:t>、合同生效：</w:t>
      </w:r>
    </w:p>
    <w:p>
      <w:pPr>
        <w:ind w:firstLine="480"/>
        <w:jc w:val="both"/>
      </w:pPr>
      <w:r>
        <w:rPr>
          <w:sz w:val="24"/>
        </w:rPr>
        <w:t>1.本合同在甲乙双方法人代表或其授权代表签字盖章后生效。</w:t>
      </w:r>
    </w:p>
    <w:p>
      <w:pPr>
        <w:ind w:firstLine="480"/>
        <w:jc w:val="both"/>
      </w:pPr>
      <w:r>
        <w:rPr>
          <w:sz w:val="24"/>
        </w:rPr>
        <w:t>2.本合同一式    份，均具有同等法律效力。甲方执正本   份、一份送本地区政府采购监督管理部门备案（如需要），乙方执正本    份、一份送采购代理机构归档备案。</w:t>
      </w:r>
    </w:p>
    <w:p>
      <w:pPr>
        <w:ind w:firstLine="480"/>
        <w:jc w:val="both"/>
      </w:pPr>
    </w:p>
    <w:p>
      <w:pPr>
        <w:ind w:firstLine="480"/>
        <w:jc w:val="both"/>
      </w:pPr>
      <w:r>
        <w:rPr>
          <w:sz w:val="24"/>
        </w:rPr>
        <w:t>甲方（盖章）：</w:t>
      </w:r>
      <w:r>
        <w:rPr>
          <w:sz w:val="24"/>
        </w:rPr>
        <w:t xml:space="preserve">             </w:t>
      </w:r>
      <w:r>
        <w:rPr>
          <w:sz w:val="21"/>
        </w:rPr>
        <w:t xml:space="preserve">      </w:t>
      </w:r>
      <w:r>
        <w:rPr>
          <w:sz w:val="24"/>
        </w:rPr>
        <w:t xml:space="preserve">  </w:t>
      </w:r>
      <w:r>
        <w:rPr>
          <w:sz w:val="24"/>
        </w:rPr>
        <w:t>乙方（盖章）：</w:t>
      </w:r>
    </w:p>
    <w:p>
      <w:pPr>
        <w:ind w:firstLine="480"/>
        <w:jc w:val="both"/>
      </w:pPr>
      <w:r>
        <w:rPr>
          <w:sz w:val="24"/>
        </w:rPr>
        <w:t>签约代表：</w:t>
      </w:r>
      <w:r>
        <w:rPr>
          <w:sz w:val="24"/>
        </w:rPr>
        <w:t xml:space="preserve">                   </w:t>
      </w:r>
      <w:r>
        <w:rPr>
          <w:sz w:val="21"/>
        </w:rPr>
        <w:t xml:space="preserve">      </w:t>
      </w:r>
      <w:r>
        <w:rPr>
          <w:sz w:val="24"/>
        </w:rPr>
        <w:t>签约代表：</w:t>
      </w:r>
    </w:p>
    <w:p>
      <w:pPr>
        <w:ind w:firstLine="480"/>
        <w:jc w:val="both"/>
      </w:pPr>
      <w:r>
        <w:rPr>
          <w:sz w:val="24"/>
        </w:rPr>
        <w:t>签定地点：</w:t>
      </w:r>
    </w:p>
    <w:p>
      <w:pPr>
        <w:ind w:firstLine="480"/>
        <w:jc w:val="both"/>
      </w:pPr>
      <w:r>
        <w:rPr>
          <w:sz w:val="24"/>
        </w:rPr>
        <w:t>签定日期：</w:t>
      </w:r>
      <w:r>
        <w:rPr>
          <w:sz w:val="24"/>
        </w:rPr>
        <w:t xml:space="preserve"> </w:t>
      </w:r>
      <w:r>
        <w:rPr>
          <w:sz w:val="24"/>
        </w:rPr>
        <w:t>年</w:t>
      </w:r>
      <w:r>
        <w:rPr>
          <w:sz w:val="24"/>
        </w:rPr>
        <w:t xml:space="preserve">    </w:t>
      </w:r>
      <w:r>
        <w:rPr>
          <w:sz w:val="24"/>
        </w:rPr>
        <w:t>月</w:t>
      </w:r>
      <w:r>
        <w:rPr>
          <w:sz w:val="24"/>
        </w:rPr>
        <w:t xml:space="preserve">   </w:t>
      </w:r>
      <w:r>
        <w:rPr>
          <w:sz w:val="24"/>
        </w:rPr>
        <w:t>日</w:t>
      </w:r>
      <w:r>
        <w:rPr>
          <w:sz w:val="24"/>
        </w:rPr>
        <w:t xml:space="preserve">  </w:t>
      </w:r>
      <w:r>
        <w:rPr>
          <w:sz w:val="21"/>
        </w:rPr>
        <w:t xml:space="preserve">      </w:t>
      </w:r>
      <w:r>
        <w:rPr>
          <w:sz w:val="24"/>
        </w:rPr>
        <w:t>签定日期：</w:t>
      </w:r>
      <w:r>
        <w:rPr>
          <w:sz w:val="24"/>
        </w:rPr>
        <w:t xml:space="preserve">    </w:t>
      </w:r>
      <w:r>
        <w:rPr>
          <w:sz w:val="24"/>
        </w:rPr>
        <w:t>年</w:t>
      </w:r>
      <w:r>
        <w:rPr>
          <w:sz w:val="24"/>
        </w:rPr>
        <w:t xml:space="preserve">    </w:t>
      </w:r>
      <w:r>
        <w:rPr>
          <w:sz w:val="24"/>
        </w:rPr>
        <w:t>月</w:t>
      </w:r>
      <w:r>
        <w:rPr>
          <w:sz w:val="24"/>
        </w:rPr>
        <w:t xml:space="preserve">    </w:t>
      </w:r>
      <w:r>
        <w:rPr>
          <w:sz w:val="24"/>
        </w:rPr>
        <w:t>日</w:t>
      </w:r>
      <w:r>
        <w:rPr>
          <w:sz w:val="24"/>
        </w:rPr>
        <w:t xml:space="preserve">   </w:t>
      </w:r>
    </w:p>
    <w:p>
      <w:pPr>
        <w:ind w:firstLine="4800"/>
        <w:jc w:val="both"/>
      </w:pPr>
      <w:r>
        <w:rPr>
          <w:sz w:val="24"/>
        </w:rPr>
        <w:t>开户名称：</w:t>
      </w:r>
    </w:p>
    <w:p>
      <w:pPr>
        <w:ind w:firstLine="4800"/>
        <w:jc w:val="both"/>
      </w:pPr>
      <w:r>
        <w:rPr>
          <w:sz w:val="24"/>
        </w:rPr>
        <w:t>银行帐号：</w:t>
      </w:r>
    </w:p>
    <w:p>
      <w:pPr>
        <w:ind w:firstLine="4800"/>
        <w:jc w:val="both"/>
      </w:pPr>
      <w:r>
        <w:rPr>
          <w:sz w:val="24"/>
        </w:rPr>
        <w:t>开</w:t>
      </w:r>
      <w:r>
        <w:rPr>
          <w:sz w:val="24"/>
        </w:rPr>
        <w:t>户</w:t>
      </w:r>
      <w:r>
        <w:rPr>
          <w:sz w:val="24"/>
        </w:rPr>
        <w:t>行：</w:t>
      </w:r>
    </w:p>
    <w:p>
      <w:pPr>
        <w:ind w:firstLine="482"/>
        <w:jc w:val="both"/>
      </w:pPr>
    </w:p>
    <w:p>
      <w:pPr>
        <w:jc w:val="both"/>
      </w:pPr>
      <w:r>
        <w:rPr>
          <w:b/>
          <w:sz w:val="24"/>
        </w:rPr>
        <w:t>合同附件：运维考核（附后）</w:t>
      </w:r>
    </w:p>
    <w:p>
      <w:pPr>
        <w:jc w:val="both"/>
      </w:pPr>
    </w:p>
    <w:p/>
    <w:p>
      <w:pPr>
        <w:ind w:firstLine="480"/>
      </w:pPr>
    </w:p>
    <w:p>
      <w:r>
        <w:rPr/>
        <w:t xml:space="preserve"> </w:t>
      </w:r>
    </w:p>
    <w:p/>
    <w:p>
      <w:pPr>
        <w:jc w:val="center"/>
      </w:pPr>
      <w:r>
        <w:rPr>
          <w:b/>
          <w:sz w:val="36"/>
        </w:rPr>
        <w:t>第六章 投标文件格式与要求</w:t>
      </w:r>
    </w:p>
    <w:p>
      <w:pPr>
        <w:ind w:firstLine="480"/>
      </w:pPr>
      <w:r>
        <w:rPr/>
        <w:t>投标人应提交证明其有资格参加投标和中标后有能力履行合同的相关文件，并作为其投标文件的一部分，所有文件必须真实可靠、不得伪造，否则将按相关规定予以处罚。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4.投标人参加政府采购前三年内在经营活动中没有重大违法记录书面声明函。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（2）查询截止时点：提交投标文件截止日当天；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ind w:firstLine="480"/>
      </w:pPr>
      <w:r>
        <w:rPr/>
        <w:t>6. 按照招标文件要求，投标人应当提交的资格、资信证明文件。</w:t>
      </w:r>
    </w:p>
    <w:p>
      <w:pPr>
        <w:ind w:firstLine="480"/>
      </w:pPr>
    </w:p>
    <w:p>
      <w:r>
        <w:rPr/>
        <w:t xml:space="preserve"> </w:t>
      </w:r>
      <w:r>
        <w:br/>
      </w:r>
    </w:p>
    <w:p/>
    <w:p>
      <w:pPr>
        <w:jc w:val="center"/>
      </w:pPr>
      <w:r>
        <w:rPr>
          <w:b/>
          <w:sz w:val="48"/>
        </w:rPr>
        <w:t>投标文件封面</w:t>
      </w:r>
    </w:p>
    <w:p/>
    <w:p>
      <w:pPr>
        <w:jc w:val="center"/>
      </w:pPr>
      <w:r>
        <w:rPr>
          <w:b/>
          <w:sz w:val="48"/>
        </w:rPr>
        <w:t>（项目名称）</w:t>
      </w:r>
    </w:p>
    <w:p>
      <w:pPr>
        <w:jc w:val="center"/>
      </w:pPr>
      <w:r>
        <w:rPr>
          <w:b/>
          <w:sz w:val="48"/>
        </w:rPr>
        <w:t>投标文件封面</w:t>
      </w:r>
    </w:p>
    <w:p>
      <w:pPr>
        <w:jc w:val="center"/>
      </w:pPr>
      <w:r>
        <w:rPr>
          <w:b/>
          <w:sz w:val="48"/>
        </w:rPr>
        <w:t>（正本/副本）</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441621-2024-00040</w:t>
      </w:r>
    </w:p>
    <w:p>
      <w:pPr>
        <w:jc w:val="center"/>
      </w:pPr>
      <w:r>
        <w:rPr>
          <w:b/>
          <w:sz w:val="24"/>
        </w:rPr>
        <w:t>采购项目编号：</w:t>
      </w:r>
      <w:r>
        <w:rPr>
          <w:b/>
          <w:sz w:val="24"/>
        </w:rPr>
        <w:t>HYSHY2023027</w:t>
      </w:r>
    </w:p>
    <w:p>
      <w:pPr>
        <w:jc w:val="center"/>
      </w:pPr>
      <w:r>
        <w:rPr>
          <w:b/>
          <w:sz w:val="24"/>
        </w:rPr>
        <w:t>所投采购包：第 包</w:t>
      </w:r>
    </w:p>
    <w:p/>
    <w:p>
      <w:pPr>
        <w:jc w:val="center"/>
      </w:pPr>
      <w:r>
        <w:rPr>
          <w:b/>
          <w:sz w:val="24"/>
        </w:rPr>
        <w:t>（投标人名称）</w:t>
      </w:r>
    </w:p>
    <w:p>
      <w:pPr>
        <w:jc w:val="center"/>
      </w:pPr>
      <w:r>
        <w:rPr>
          <w:b/>
          <w:sz w:val="24"/>
        </w:rPr>
        <w:t>年 月 日</w:t>
      </w:r>
    </w:p>
    <w:p>
      <w:pPr>
        <w:ind w:firstLine="480"/>
      </w:pPr>
    </w:p>
    <w:p>
      <w:r>
        <w:rPr/>
        <w:t xml:space="preserve"> </w:t>
      </w:r>
    </w:p>
    <w:p/>
    <w:p>
      <w:pPr>
        <w:jc w:val="center"/>
      </w:pPr>
      <w:r>
        <w:rPr>
          <w:b/>
          <w:sz w:val="24"/>
        </w:rPr>
        <w:t>投标文件目录</w:t>
      </w:r>
    </w:p>
    <w:p>
      <w:pPr>
        <w:ind w:firstLine="480"/>
      </w:pPr>
      <w:r>
        <w:rPr/>
        <w:t>一、投标函</w:t>
      </w:r>
    </w:p>
    <w:p>
      <w:pPr>
        <w:ind w:firstLine="480"/>
      </w:pPr>
      <w:r>
        <w:rPr/>
        <w:t>二、开标一览表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七、投标保证金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十四、联合体共同投标协议书</w:t>
      </w:r>
    </w:p>
    <w:p>
      <w:pPr>
        <w:ind w:firstLine="480"/>
      </w:pPr>
      <w:r>
        <w:rPr/>
        <w:t>十五、投标人业绩情况表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r>
        <w:rPr/>
        <w:t>二十五、政府采购履约担保函、采购合同履约保险凭证</w:t>
      </w:r>
    </w:p>
    <w:p>
      <w:pPr>
        <w:ind w:firstLine="480"/>
      </w:pPr>
    </w:p>
    <w:p>
      <w:r>
        <w:rPr/>
        <w:t xml:space="preserve"> </w:t>
      </w:r>
    </w:p>
    <w:p/>
    <w:p>
      <w:r>
        <w:rPr>
          <w:b/>
          <w:sz w:val="28"/>
        </w:rPr>
        <w:t>格式一：</w:t>
      </w:r>
    </w:p>
    <w:p>
      <w:r>
        <w:rPr>
          <w:b/>
          <w:sz w:val="24"/>
        </w:rPr>
        <w:t>投标函</w:t>
      </w:r>
    </w:p>
    <w:p>
      <w:pPr>
        <w:ind w:firstLine="480"/>
      </w:pPr>
      <w:r>
        <w:rPr/>
        <w:t>致：</w:t>
      </w:r>
      <w:r>
        <w:rPr>
          <w:u w:val="single"/>
        </w:rPr>
        <w:t>广东省华屹项目管理有限公司</w:t>
      </w:r>
    </w:p>
    <w:p>
      <w:pPr>
        <w:ind w:firstLine="480"/>
      </w:pPr>
      <w:r>
        <w:rPr/>
        <w:t>你方组织的</w:t>
      </w:r>
      <w:r>
        <w:rPr>
          <w:u w:val="single"/>
        </w:rPr>
        <w:t>“</w:t>
      </w:r>
      <w:r>
        <w:rPr>
          <w:u w:val="single"/>
        </w:rPr>
        <w:t>紫金县平安乡村智慧视频项目</w:t>
      </w:r>
      <w:r>
        <w:rPr>
          <w:u w:val="single"/>
        </w:rPr>
        <w:t>”</w:t>
      </w:r>
      <w:r>
        <w:rPr/>
        <w:t>项目的招标[采购项目编号为：</w:t>
      </w:r>
      <w:r>
        <w:rPr>
          <w:u w:val="single"/>
        </w:rPr>
        <w:t>HYSHY2023027</w:t>
      </w:r>
      <w:r>
        <w:rPr/>
        <w:t>]，我方愿参与投标。</w:t>
      </w:r>
    </w:p>
    <w:p>
      <w:pPr>
        <w:ind w:firstLine="480"/>
      </w:pPr>
      <w:r>
        <w:rPr/>
        <w:t>我方确认收到贵方提供的</w:t>
      </w:r>
      <w:r>
        <w:rPr>
          <w:u w:val="single"/>
        </w:rPr>
        <w:t>“</w:t>
      </w:r>
      <w:r>
        <w:rPr>
          <w:u w:val="single"/>
        </w:rPr>
        <w:t>紫金县平安乡村智慧视频项目</w:t>
      </w:r>
      <w:r>
        <w:rPr>
          <w:u w:val="single"/>
        </w:rPr>
        <w:t>”</w:t>
      </w:r>
      <w:r>
        <w:rPr/>
        <w:t>项目的招标文件的全部内容。</w:t>
      </w:r>
    </w:p>
    <w:p>
      <w:pPr>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ind w:firstLine="480"/>
      </w:pPr>
      <w:r>
        <w:rPr>
          <w:u w:val="single"/>
        </w:rPr>
        <w:t>(投标人名称)</w:t>
      </w:r>
      <w:r>
        <w:rPr/>
        <w:t>作为投标人正式授权</w:t>
      </w:r>
      <w:r>
        <w:rPr>
          <w:u w:val="single"/>
        </w:rPr>
        <w:t>(授权代表全名,职务)</w:t>
      </w:r>
      <w:r>
        <w:rPr/>
        <w:t>代表我方全权处理有关本投标的一切事宜。</w:t>
      </w:r>
    </w:p>
    <w:p>
      <w:pPr>
        <w:ind w:firstLine="480"/>
      </w:pPr>
      <w:r>
        <w:rPr/>
        <w:t>我方已完全明白招标文件的所有条款要求，并申明如下：</w:t>
      </w:r>
    </w:p>
    <w:p>
      <w:pPr>
        <w:ind w:firstLine="480"/>
      </w:pPr>
      <w:r>
        <w:rPr/>
        <w:t>（一）按招标文件提供的全部货物与相关服务的投标总价详见《开标一览表》。</w:t>
      </w:r>
    </w:p>
    <w:p>
      <w:pPr>
        <w:ind w:firstLine="480"/>
      </w:pPr>
      <w:r>
        <w:rPr/>
        <w:t>（二）本投标文件的有效期为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ind w:firstLine="480"/>
      </w:pPr>
      <w:r>
        <w:rPr/>
        <w:t>（三）我方明白并同意，在规定的开标日之后，投标有效期之内撤回投标或中标后不按规定与采购人签订合同或不提交履约保证金, 则贵方将不予退还投标保证金。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（五）我方理解贵方不一定接受最低投标价或任何贵方可能收到的投标。</w:t>
      </w:r>
    </w:p>
    <w:p>
      <w:pPr>
        <w:ind w:firstLine="480"/>
      </w:pPr>
      <w:r>
        <w:rPr/>
        <w:t>（六）我方如果中标，将保证履行招标文件及其澄清、修改文件（如果有）中的全部责任和义务，按质、按量、按期完成《采购需求》及《合同书》中的全部任务。</w:t>
      </w:r>
    </w:p>
    <w:p>
      <w:pPr>
        <w:ind w:firstLine="480"/>
      </w:pPr>
      <w:r>
        <w:rPr/>
        <w:t>（七）我方作为法律、财务和运作上独立于采购人、采购代理机构的投标人，在此保证所提交的所有文件和全部说明是真实的和正确的。</w:t>
      </w:r>
    </w:p>
    <w:p>
      <w:pPr>
        <w:ind w:firstLine="480"/>
      </w:pPr>
      <w:r>
        <w:rPr/>
        <w:t>（八）我方投标报价已包含应向知识产权所有权人支付的所有相关税费，并保证采购人在中国使用我方提供的货物时，如有第三方提出侵犯其知识产权主张的，责任由我方承担。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（九）我方接受采购人委托向贵方支付代理服务费，项目总报价已包含代理服务费，如果被确定为中标供应商，承诺向贵方足额支付。（若采购人支付代理服务费，则此条不适用）</w:t>
      </w:r>
    </w:p>
    <w:p>
      <w:pPr>
        <w:ind w:firstLine="480"/>
      </w:pPr>
      <w:r>
        <w:rPr/>
        <w:t>（十）我方与其他投标人不存在单位负责人为同一人或者存在直接控股、管理关系。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（十三）我方承诺遵守《中华人民共和国劳动合同法》有关规定和《中华人民共和国妇女权益保障法》中关于“劳动和社会保障权益”的有关要求。</w:t>
      </w:r>
    </w:p>
    <w:p>
      <w:pPr>
        <w:ind w:firstLine="480"/>
      </w:pPr>
      <w:r>
        <w:rPr/>
        <w:t>（十四）我方具备《中华人民共和国政府采购法》第二十二条规定的条件，承诺如下：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以上内容如有虚假或与事实不符的，评标委员会可将我方做无效投标处理，我方愿意承担相应的法律责任。</w:t>
      </w:r>
    </w:p>
    <w:p>
      <w:pPr>
        <w:ind w:firstLine="480"/>
      </w:pPr>
      <w:r>
        <w:rPr/>
        <w:t>（十五）我方对在本函及投标文件中所作的所有承诺承担法律责任。</w:t>
      </w:r>
    </w:p>
    <w:p>
      <w:pPr>
        <w:ind w:firstLine="480"/>
      </w:pPr>
      <w:r>
        <w:rPr/>
        <w:t>（十六）所有与本招标有关的函件请发往下列地址：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真：__________________电子邮箱：__________________</w:t>
      </w:r>
    </w:p>
    <w:p>
      <w:pPr>
        <w:ind w:firstLine="480"/>
      </w:pPr>
      <w:r>
        <w:rPr/>
        <w:t>代表姓名：__________________职 务：__________________</w:t>
      </w:r>
    </w:p>
    <w:p>
      <w:pPr>
        <w:ind w:firstLine="480"/>
      </w:pPr>
    </w:p>
    <w:p>
      <w:pPr>
        <w:ind w:firstLine="480"/>
      </w:pPr>
    </w:p>
    <w:p>
      <w:pPr>
        <w:ind w:firstLine="480"/>
      </w:pPr>
    </w:p>
    <w:p>
      <w:pPr>
        <w:ind w:firstLine="480"/>
      </w:pPr>
    </w:p>
    <w:p>
      <w:r>
        <w:rPr/>
        <w:t>投标人法定代表人（或法定代表人授权代表）签字或盖章：__________________</w:t>
      </w:r>
    </w:p>
    <w:p>
      <w:r>
        <w:rPr/>
        <w:t>投标人名称（盖章）：__________________</w:t>
      </w:r>
    </w:p>
    <w:p>
      <w:r>
        <w:rPr/>
        <w:t>日期： 年 月 日</w:t>
      </w:r>
    </w:p>
    <w:p>
      <w:pPr>
        <w:ind w:firstLine="480"/>
      </w:pPr>
    </w:p>
    <w:p>
      <w:r>
        <w:rPr/>
        <w:t xml:space="preserve"> </w:t>
      </w:r>
    </w:p>
    <w:p/>
    <w:p>
      <w:r>
        <w:rPr>
          <w:b/>
          <w:sz w:val="28"/>
        </w:rPr>
        <w:t>格式二：</w:t>
      </w:r>
    </w:p>
    <w:p>
      <w:pPr>
        <w:jc w:val="center"/>
      </w:pPr>
      <w:r>
        <w:rPr>
          <w:b/>
          <w:sz w:val="24"/>
        </w:rPr>
        <w:t>开标一览表</w:t>
      </w:r>
    </w:p>
    <w:p>
      <w:pPr>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投标报价（元/%）</w:t>
            </w:r>
          </w:p>
        </w:tc>
        <w:tc>
          <w:tcPr>
            <w:tcW w:type="dxa" w:w="1661"/>
          </w:tcPr>
          <w:p>
            <w:r>
              <w:rPr/>
              <w:t>交货或服务期</w:t>
            </w:r>
          </w:p>
        </w:tc>
        <w:tc>
          <w:tcPr>
            <w:tcW w:type="dxa" w:w="1661"/>
          </w:tcPr>
          <w:p>
            <w:r>
              <w:rPr/>
              <w:t>交货或服务地点</w:t>
            </w:r>
          </w:p>
        </w:tc>
      </w:tr>
      <w:tr>
        <w:tc>
          <w:tcPr>
            <w:tcW w:type="dxa" w:w="1661"/>
          </w:tcPr>
          <w:p>
            <w:r>
              <w:rPr/>
              <w:t>1</w:t>
            </w:r>
          </w:p>
        </w:tc>
        <w:tc>
          <w:tcPr>
            <w:tcW w:type="dxa" w:w="1661"/>
          </w:tcPr>
          <w:p/>
        </w:tc>
        <w:tc>
          <w:tcPr>
            <w:tcW w:type="dxa" w:w="1661"/>
          </w:tcPr>
          <w:p/>
        </w:tc>
        <w:tc>
          <w:tcPr>
            <w:tcW w:type="dxa" w:w="1661"/>
          </w:tcPr>
          <w:p/>
        </w:tc>
        <w:tc>
          <w:tcPr>
            <w:tcW w:type="dxa" w:w="1661"/>
          </w:tcPr>
          <w:p/>
        </w:tc>
      </w:tr>
    </w:tbl>
    <w:p>
      <w:r>
        <w:rPr/>
        <w:t>投标人签章：__________________</w:t>
      </w:r>
    </w:p>
    <w:p>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p>
      <w:pPr>
        <w:ind w:firstLine="480"/>
      </w:pPr>
      <w:r>
        <w:rPr/>
        <w:t>采购包：</w:t>
      </w:r>
    </w:p>
    <w:p>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rPr/>
        <w:t>投标人签章：__________________</w:t>
      </w:r>
    </w:p>
    <w:p>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2.“节能产品、环境标志产品”须填写认证证书编号，并在对应“节能产品”、“环境标志产品”栏中勾选，同时提供有效期内的证书复印件（加盖投标人公章）</w:t>
      </w:r>
    </w:p>
    <w:p>
      <w:r>
        <w:rPr/>
        <w:t xml:space="preserve"> 投标人名称（盖章）：__________________</w:t>
      </w:r>
    </w:p>
    <w:p>
      <w:r>
        <w:rPr/>
        <w:t>日期： 年 月 日</w:t>
      </w:r>
    </w:p>
    <w:p>
      <w:pPr>
        <w:ind w:firstLine="480"/>
      </w:pPr>
    </w:p>
    <w:p>
      <w:r>
        <w:rPr/>
        <w:t xml:space="preserve"> </w:t>
      </w:r>
    </w:p>
    <w:p/>
    <w:p>
      <w:r>
        <w:rPr>
          <w:b/>
          <w:sz w:val="28"/>
        </w:rPr>
        <w:t>格式五：</w:t>
      </w:r>
    </w:p>
    <w:p>
      <w:pPr>
        <w:ind w:firstLine="480"/>
      </w:pPr>
      <w:r>
        <w:rPr/>
        <w:t>（投标人可使用下述格式，也可使用广东省工商行政管理局统一印制的法定代表人证明书格式）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w:t>
      </w:r>
    </w:p>
    <w:p>
      <w:pPr>
        <w:ind w:firstLine="480"/>
      </w:pPr>
    </w:p>
    <w:p>
      <w:pPr>
        <w:ind w:firstLine="480"/>
      </w:pPr>
    </w:p>
    <w:p>
      <w:r>
        <w:rPr/>
        <w:t xml:space="preserve"> 投标人名称（盖章）：__________________</w:t>
      </w:r>
    </w:p>
    <w:p>
      <w:r>
        <w:rPr/>
        <w:t xml:space="preserve"> 地址：__________________</w:t>
      </w:r>
    </w:p>
    <w:p>
      <w:r>
        <w:rPr/>
        <w:t xml:space="preserve"> 法定代表人（签字或盖章）：__________________</w:t>
      </w:r>
    </w:p>
    <w:p>
      <w:r>
        <w:rPr/>
        <w:t xml:space="preserve"> 职务：__________________</w:t>
      </w:r>
    </w:p>
    <w:p>
      <w:r>
        <w:rPr/>
        <w:t>日期： 年 月 日</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（对于银行、保险、电信、邮政、铁路等行业以及获得总公司投标授权的分公司，可以提供投标分支机构负责人授权书）</w:t>
      </w:r>
    </w:p>
    <w:p>
      <w:pPr>
        <w:jc w:val="center"/>
      </w:pPr>
      <w:r>
        <w:rPr>
          <w:b/>
          <w:sz w:val="24"/>
        </w:rPr>
        <w:t>法定代表人授权书</w:t>
      </w:r>
    </w:p>
    <w:p>
      <w:pPr>
        <w:ind w:firstLine="480"/>
      </w:pPr>
      <w:r>
        <w:rPr/>
        <w:t>致：</w:t>
      </w:r>
      <w:r>
        <w:rPr/>
        <w:t>广东省华屹项目管理有限公司</w:t>
      </w:r>
    </w:p>
    <w:p>
      <w:pPr>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紫金县平安乡村智慧视频项目</w:t>
      </w:r>
      <w:r>
        <w:rPr/>
        <w:t>”项目采购[采购项目编号为</w:t>
      </w:r>
      <w:r>
        <w:rPr/>
        <w:t>HYSHY2023027</w:t>
      </w:r>
      <w:r>
        <w:rPr/>
        <w:t>]的投标和合同执行，以我方的名义处理一切与之有关的事宜。</w:t>
      </w:r>
    </w:p>
    <w:p>
      <w:pPr>
        <w:ind w:firstLine="480"/>
      </w:pPr>
      <w:r>
        <w:rPr/>
        <w:t>本授权书于________年________月________日签字生效，特此声明。</w:t>
      </w:r>
    </w:p>
    <w:p>
      <w:r>
        <w:rPr/>
        <w:t xml:space="preserve"> 投标人（盖章）：__________________</w:t>
      </w:r>
    </w:p>
    <w:p>
      <w:r>
        <w:rPr/>
        <w:t xml:space="preserve"> 地址：__________________</w:t>
      </w:r>
    </w:p>
    <w:p>
      <w:r>
        <w:rPr/>
        <w:t xml:space="preserve"> 法定代表人（签字或盖章）：__________________</w:t>
      </w:r>
    </w:p>
    <w:p>
      <w:r>
        <w:rPr/>
        <w:t xml:space="preserve"> 职务：__________________</w:t>
      </w:r>
    </w:p>
    <w:p>
      <w:r>
        <w:rPr/>
        <w:t xml:space="preserve"> 被授权人（签字或盖章）：__________________</w:t>
      </w:r>
    </w:p>
    <w:p>
      <w:r>
        <w:rPr/>
        <w:t xml:space="preserve"> 职务：__________________</w:t>
      </w:r>
    </w:p>
    <w:p>
      <w:r>
        <w:rPr/>
        <w:t>日期： 年 月 日</w:t>
      </w:r>
    </w:p>
    <w:p>
      <w:pPr>
        <w:ind w:firstLine="480"/>
      </w:pPr>
    </w:p>
    <w:p>
      <w:r>
        <w:rPr/>
        <w:t xml:space="preserve"> </w:t>
      </w:r>
    </w:p>
    <w:p/>
    <w:p>
      <w:r>
        <w:rPr>
          <w:b/>
          <w:sz w:val="28"/>
        </w:rPr>
        <w:t>格式七：</w:t>
      </w:r>
    </w:p>
    <w:p>
      <w:pPr>
        <w:jc w:val="center"/>
      </w:pPr>
      <w:r>
        <w:rPr>
          <w:b/>
          <w:sz w:val="24"/>
        </w:rPr>
        <w:t>投标保证金</w:t>
      </w:r>
    </w:p>
    <w:p>
      <w:pPr>
        <w:ind w:firstLine="480"/>
      </w:pPr>
      <w:r>
        <w:rPr/>
        <w:t>采购文件要求递交投标保证金的，投标人应在此提供保证金的凭证的复印件。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具有履行合同所必需的设备和专业技术能力</w:t>
      </w: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紫金县公安局</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中小企业声明函（所投产品制造商为中小企业时提交本函，所属行业应符合采购文件中明确的本项目所属行业）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中小企业声明函（承建本项目工程为中小企业或者承接本项目服务为中小企业时提交本函，所属行业应符合采购文件中明确的本项目所属行业）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r>
        <w:rPr/>
        <w:t>1：从业人员、营业收入、资产总额填报上一年度数据，无上一年度数据的新成立企业可不填报。</w:t>
      </w:r>
    </w:p>
    <w:p>
      <w:pPr>
        <w:ind w:firstLine="480"/>
      </w:pPr>
      <w:r>
        <w:rPr/>
        <w:t>2：投标人应当自行核实是否属于小微企业，并认真填写声明函，若有虚假将追究其责任。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r>
        <w:rPr/>
        <w:t xml:space="preserve"> 单位名称（盖章）：__________________</w:t>
      </w:r>
    </w:p>
    <w:p>
      <w:r>
        <w:rPr/>
        <w:t>日期： 年 月 日</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联合体共同投标协议书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ind w:firstLine="480"/>
      </w:pPr>
      <w:r>
        <w:rPr/>
        <w:t>二、联合体内部有关事项约定如下：</w:t>
      </w:r>
    </w:p>
    <w:p>
      <w:pPr>
        <w:ind w:firstLine="480"/>
      </w:pPr>
      <w:r>
        <w:rPr/>
        <w:t>1.（甲公司全称）作为联合体的牵头单位，代表联合体双方负责投标和合同实施阶段的主办、协调工作。</w:t>
      </w:r>
    </w:p>
    <w:p>
      <w:pPr>
        <w:ind w:firstLine="480"/>
      </w:pPr>
      <w:r>
        <w:rPr/>
        <w:t>2.联合体将严格按照文件的各项要求，递交投标文件，切实执行一切合同文件，共同承担合同规定的一切义务和责任，同时按照内部职责的划分，承担自身所负的责任和风险，在法律上承担连带责任。</w:t>
      </w:r>
    </w:p>
    <w:p>
      <w:pPr>
        <w:ind w:firstLine="480"/>
      </w:pPr>
      <w:r>
        <w:rPr/>
        <w:t>3.如果本联合体中标，</w:t>
      </w:r>
      <w:r>
        <w:rPr>
          <w:u w:val="single"/>
        </w:rPr>
        <w:t>（甲公司全称）</w:t>
      </w:r>
      <w:r>
        <w:rPr/>
        <w:t>负责本项目___________部分，</w:t>
      </w:r>
      <w:r>
        <w:rPr>
          <w:u w:val="single"/>
        </w:rPr>
        <w:t>（乙公司全称）</w:t>
      </w:r>
      <w:r>
        <w:rPr/>
        <w:t>负责本项目___________部分。</w:t>
      </w:r>
    </w:p>
    <w:p>
      <w:pPr>
        <w:ind w:firstLine="480"/>
      </w:pPr>
      <w:r>
        <w:rPr/>
        <w:t>4.如中标，联合体各方共同与（采购人）签订合同书，并就中标项目向采购人负责有连带的和各自的法律责任；</w:t>
      </w:r>
    </w:p>
    <w:p>
      <w:pPr>
        <w:ind w:firstLine="480"/>
      </w:pPr>
      <w:r>
        <w:rPr/>
        <w:t>5.联合体成员（公司全称）为（请填写：小型、微型）企业，将承担合同总金额_____%的工作内容（联合体成员中有小型、微型企业时适用）。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五、本协议在自签署之日起生效，有效期内有效，如获中标资格，合同有效期延续至合同履行完毕之日。</w:t>
      </w:r>
    </w:p>
    <w:p>
      <w:pPr>
        <w:ind w:firstLine="480"/>
      </w:pPr>
      <w:r>
        <w:rPr/>
        <w:t>六、本协议书正本一式_____份，随投标文件装订_____份，送采购人_____份，联合体成员各一份；副本一式_____份，联合体成员各执_____份。</w:t>
      </w:r>
    </w:p>
    <w:p>
      <w:r>
        <w:rPr/>
        <w:t>甲公司全称：____（盖章）________，乙公司全称：____（盖章）________，……公司全称：____（盖章）________，</w:t>
      </w:r>
    </w:p>
    <w:p>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根据上述业绩情况，按招标文件要求附销售或服务合同复印件及评审标准要求的证明材料。</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采购文件规定的技术和服务要求</w:t>
            </w:r>
          </w:p>
        </w:tc>
        <w:tc>
          <w:tcPr>
            <w:tcW w:type="dxa" w:w="923"/>
          </w:tcPr>
          <w:p>
            <w:r>
              <w:rPr/>
              <w:t>投标文件响应的具体内容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1.“采购文件规定的技术和服务要求”项下填写的内容应与招标文件中采购需求的</w:t>
        <w:tab/>
        <w:tab/>
        <w:tab/>
        <w:t xml:space="preserve">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3. “是否偏离”项下应按下列规定填写：优于的，填写“正偏离”；符合的，填写“无偏离”；低于的，填写“负偏离”。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采购文件规定的商务条件</w:t>
            </w:r>
          </w:p>
        </w:tc>
        <w:tc>
          <w:tcPr>
            <w:tcW w:type="dxa" w:w="1187"/>
          </w:tcPr>
          <w:p>
            <w:r>
              <w:rPr/>
              <w:t>投标文件响应的具体内容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 “采购文件规定的商务条件”项下填写的内容应与招标文件中采购需求的 “商务要求”的内容保持一致。</w:t>
      </w:r>
    </w:p>
    <w:p>
      <w:pPr>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4. “是否偏离”项下应按下列规定填写：优于的，填写“正偏离”；符合的，填写“无偏离”；低于的，填写“负偏离”。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r>
              <w:rPr/>
              <w:t>1</w:t>
            </w:r>
          </w:p>
        </w:tc>
        <w:tc>
          <w:tcPr>
            <w:tcW w:type="dxa" w:w="2076"/>
          </w:tcPr>
          <w:p>
            <w:r>
              <w:rPr/>
              <w:t>拟定___年___月___日</w:t>
            </w:r>
          </w:p>
        </w:tc>
        <w:tc>
          <w:tcPr>
            <w:tcW w:type="dxa" w:w="2076"/>
          </w:tcPr>
          <w:p>
            <w:r>
              <w:rPr/>
              <w:t>签订合同并生效</w:t>
            </w:r>
          </w:p>
        </w:tc>
        <w:tc>
          <w:tcPr>
            <w:tcW w:type="dxa" w:w="2076"/>
          </w:tcPr>
          <w:p/>
        </w:tc>
      </w:tr>
      <w:tr>
        <w:tc>
          <w:tcPr>
            <w:tcW w:type="dxa" w:w="2076"/>
          </w:tcPr>
          <w:p>
            <w:r>
              <w:rPr/>
              <w:t>2</w:t>
            </w:r>
          </w:p>
        </w:tc>
        <w:tc>
          <w:tcPr>
            <w:tcW w:type="dxa" w:w="2076"/>
          </w:tcPr>
          <w:p>
            <w:r>
              <w:rPr/>
              <w:t>___月___日—___月___日</w:t>
            </w:r>
          </w:p>
        </w:tc>
        <w:tc>
          <w:tcPr>
            <w:tcW w:type="dxa" w:w="2076"/>
          </w:tcPr>
          <w:p/>
        </w:tc>
        <w:tc>
          <w:tcPr>
            <w:tcW w:type="dxa" w:w="2076"/>
          </w:tcPr>
          <w:p/>
        </w:tc>
      </w:tr>
      <w:tr>
        <w:tc>
          <w:tcPr>
            <w:tcW w:type="dxa" w:w="2076"/>
          </w:tcPr>
          <w:p>
            <w:r>
              <w:rPr/>
              <w:t>3</w:t>
            </w:r>
          </w:p>
        </w:tc>
        <w:tc>
          <w:tcPr>
            <w:tcW w:type="dxa" w:w="2076"/>
          </w:tcPr>
          <w:p>
            <w:r>
              <w:rPr/>
              <w:t>___月___日—___月___日</w:t>
            </w:r>
          </w:p>
        </w:tc>
        <w:tc>
          <w:tcPr>
            <w:tcW w:type="dxa" w:w="2076"/>
          </w:tcPr>
          <w:p/>
        </w:tc>
        <w:tc>
          <w:tcPr>
            <w:tcW w:type="dxa" w:w="2076"/>
          </w:tcPr>
          <w:p/>
        </w:tc>
      </w:tr>
      <w:tr>
        <w:tc>
          <w:tcPr>
            <w:tcW w:type="dxa" w:w="2076"/>
          </w:tcPr>
          <w:p>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1.招标文件要求提供的其他资料。</w:t>
      </w:r>
    </w:p>
    <w:p>
      <w:pPr>
        <w:ind w:firstLine="480"/>
      </w:pPr>
      <w:r>
        <w:rPr/>
        <w:t>2.投标人认为需提供的其他资料。</w:t>
      </w:r>
    </w:p>
    <w:p>
      <w:pPr>
        <w:ind w:firstLine="480"/>
      </w:pPr>
    </w:p>
    <w:p>
      <w:r>
        <w:rPr/>
        <w:t xml:space="preserve"> </w:t>
      </w:r>
    </w:p>
    <w:p/>
    <w:p>
      <w:r>
        <w:rPr>
          <w:b/>
          <w:sz w:val="28"/>
        </w:rPr>
        <w:t>格式二十：</w:t>
      </w:r>
    </w:p>
    <w:p>
      <w:pPr>
        <w:jc w:val="center"/>
      </w:pPr>
      <w:r>
        <w:rPr>
          <w:b/>
          <w:sz w:val="24"/>
        </w:rPr>
        <w:t>采购代理服务费支付承诺书</w:t>
      </w:r>
    </w:p>
    <w:p>
      <w:pPr>
        <w:ind w:firstLine="480"/>
      </w:pPr>
      <w:r>
        <w:rPr/>
        <w:t>致：</w:t>
      </w:r>
      <w:r>
        <w:rPr/>
        <w:t>广东省华屹项目管理有限公司</w:t>
      </w:r>
    </w:p>
    <w:p>
      <w:pPr>
        <w:ind w:firstLine="480"/>
      </w:pPr>
      <w:r>
        <w:rPr/>
        <w:t>如果我方在贵采购代理机构组织的</w:t>
      </w:r>
      <w:r>
        <w:rPr/>
        <w:t>紫金县平安乡村智慧视频项目</w:t>
      </w:r>
      <w:r>
        <w:rPr/>
        <w:t>招标中获中标（采购项目编号：</w:t>
      </w:r>
      <w:r>
        <w:rPr/>
        <w:t>HYSHY2023027</w:t>
      </w:r>
      <w:r>
        <w:rPr/>
        <w:t>），我方保证在收取《中标通知书》时，按招标文件对代理服务费支付方式的约定，承担本项目代理服务费。</w:t>
      </w:r>
    </w:p>
    <w:p>
      <w:pPr>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广东省华屹项目管理有限公司</w:t>
      </w:r>
      <w:r>
        <w:rPr/>
        <w:t>的要求办理支付手续。</w:t>
      </w:r>
    </w:p>
    <w:p>
      <w:pPr>
        <w:ind w:firstLine="480"/>
      </w:pPr>
      <w:r>
        <w:rPr/>
        <w:t>特此承诺！</w:t>
      </w:r>
    </w:p>
    <w:p>
      <w:pPr>
        <w:ind w:firstLine="480"/>
      </w:pPr>
    </w:p>
    <w:p>
      <w:r>
        <w:rPr/>
        <w:t>投标人法定名称（公章）；_____________________</w:t>
      </w:r>
    </w:p>
    <w:p>
      <w:r>
        <w:rPr/>
        <w:t>投标人法定地址：_____________________</w:t>
      </w:r>
    </w:p>
    <w:p>
      <w:r>
        <w:rPr/>
        <w:t>投标人授权代表（签字或盖章）：_____________________</w:t>
      </w:r>
    </w:p>
    <w:p>
      <w:r>
        <w:rPr/>
        <w:t>电 话：_____________________</w:t>
      </w:r>
    </w:p>
    <w:p>
      <w:r>
        <w:rPr/>
        <w:t>传 真：_____________________</w:t>
      </w:r>
    </w:p>
    <w:p>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投标人需要采购人提供的附加条件</w:t>
            </w:r>
          </w:p>
        </w:tc>
      </w:tr>
      <w:tr>
        <w:tc>
          <w:tcPr>
            <w:tcW w:type="dxa" w:w="4153"/>
          </w:tcPr>
          <w:p>
            <w:r>
              <w:rPr/>
              <w:t>1</w:t>
            </w:r>
          </w:p>
        </w:tc>
        <w:tc>
          <w:tcPr>
            <w:tcW w:type="dxa" w:w="4153"/>
          </w:tcPr>
          <w:p/>
        </w:tc>
      </w:tr>
      <w:tr>
        <w:tc>
          <w:tcPr>
            <w:tcW w:type="dxa" w:w="4153"/>
          </w:tcPr>
          <w:p>
            <w:r>
              <w:rPr/>
              <w:t>2</w:t>
            </w:r>
          </w:p>
        </w:tc>
        <w:tc>
          <w:tcPr>
            <w:tcW w:type="dxa" w:w="4153"/>
          </w:tcPr>
          <w:p/>
        </w:tc>
      </w:tr>
      <w:tr>
        <w:tc>
          <w:tcPr>
            <w:tcW w:type="dxa" w:w="4153"/>
          </w:tcPr>
          <w:p>
            <w:r>
              <w:rPr/>
              <w:t>3</w:t>
            </w:r>
          </w:p>
        </w:tc>
        <w:tc>
          <w:tcPr>
            <w:tcW w:type="dxa" w:w="4153"/>
          </w:tcPr>
          <w:p/>
        </w:tc>
      </w:tr>
    </w:tbl>
    <w:p>
      <w:pPr>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说明：本部分格式为投标人提交询问函、质疑函、投诉函时使用，不属于投标文件格式的组成部分。</w:t>
      </w:r>
    </w:p>
    <w:p>
      <w:pPr>
        <w:jc w:val="center"/>
      </w:pPr>
      <w:r>
        <w:rPr>
          <w:b/>
          <w:sz w:val="24"/>
        </w:rPr>
        <w:t>询问函</w:t>
      </w:r>
    </w:p>
    <w:p>
      <w:pPr>
        <w:ind w:firstLine="480"/>
      </w:pPr>
      <w:r>
        <w:rPr/>
        <w:t>广东省华屹项目管理有限公司</w:t>
      </w:r>
    </w:p>
    <w:p>
      <w:pPr>
        <w:ind w:firstLine="480"/>
      </w:pPr>
      <w:r>
        <w:rPr/>
        <w:t>我单位已登记并准备参与“</w:t>
      </w:r>
      <w:r>
        <w:rPr/>
        <w:t>紫金县平安乡村智慧视频项目</w:t>
      </w:r>
      <w:r>
        <w:rPr/>
        <w:t>”项目（采购项目编号：</w:t>
      </w:r>
      <w:r>
        <w:rPr/>
        <w:t>HYSHY2023027</w:t>
      </w:r>
      <w:r>
        <w:rPr/>
        <w:t>）的投标活动，现有以下几个内容（或条款）存在疑问（或无法理解），特提出询问。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r>
        <w:rPr/>
        <w:t>询问人（公章）：_____________________</w:t>
      </w:r>
    </w:p>
    <w:p>
      <w:r>
        <w:rPr/>
        <w:t>法定代表人或授权代表（签字或盖章）：_____________________</w:t>
      </w:r>
    </w:p>
    <w:p>
      <w:r>
        <w:rPr/>
        <w:t>地址/邮编：_____________________</w:t>
      </w:r>
    </w:p>
    <w:p>
      <w:r>
        <w:rPr/>
        <w:t>电话/传真：_____________________</w:t>
      </w:r>
    </w:p>
    <w:p>
      <w:r>
        <w:rPr/>
        <w:t>日期： 年 月 日</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w:t>
      </w:r>
    </w:p>
    <w:p>
      <w:pPr>
        <w:ind w:firstLine="480"/>
      </w:pPr>
      <w:r>
        <w:rPr/>
        <w:t>地址：_____________________邮编：_____________________</w:t>
      </w:r>
    </w:p>
    <w:p>
      <w:pPr>
        <w:ind w:firstLine="480"/>
      </w:pPr>
      <w:r>
        <w:rPr/>
        <w:t>联系：_____________________联系电话：_____________________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采购文件获取日期：_____________________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质疑事项2：_____________________</w:t>
      </w:r>
    </w:p>
    <w:p>
      <w:pPr>
        <w:ind w:firstLine="480"/>
      </w:pPr>
      <w:r>
        <w:rPr/>
        <w:t>……</w:t>
      </w:r>
    </w:p>
    <w:p>
      <w:pPr>
        <w:ind w:firstLine="480"/>
      </w:pPr>
      <w:r>
        <w:rPr/>
        <w:t>四、与质疑事项相关的质疑请求</w:t>
      </w:r>
    </w:p>
    <w:p>
      <w:pPr>
        <w:ind w:firstLine="480"/>
      </w:pPr>
      <w:r>
        <w:rPr/>
        <w:t>请求：__________________________________________</w:t>
      </w:r>
    </w:p>
    <w:p>
      <w:r>
        <w:rPr/>
        <w:t xml:space="preserve"> 签字(签章)：_____________________ 公章：_____________________</w:t>
      </w:r>
    </w:p>
    <w:p>
      <w:r>
        <w:rPr/>
        <w:t>日期： 年 月 日</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3.质疑供应商若对项目的某一分包进行质疑，质疑函中应列明具体采购包号。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相关供应商：_____________________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采购文件公告:</w:t>
      </w:r>
      <w:r>
        <w:rPr>
          <w:u w:val="single"/>
        </w:rPr>
        <w:t>是/否</w:t>
      </w:r>
      <w:r>
        <w:rPr/>
        <w:t>公告期限：_____________________</w:t>
      </w:r>
    </w:p>
    <w:p>
      <w:pPr>
        <w:ind w:firstLine="480"/>
      </w:pPr>
      <w:r>
        <w:rPr/>
        <w:t>采购结果公告:</w:t>
      </w:r>
      <w:r>
        <w:rPr>
          <w:u w:val="single"/>
        </w:rPr>
        <w:t>是/否</w:t>
      </w:r>
      <w:r>
        <w:rPr/>
        <w:t>公告期限：_____________________</w:t>
      </w:r>
    </w:p>
    <w:p>
      <w:pPr>
        <w:ind w:firstLine="480"/>
      </w:pPr>
      <w:r>
        <w:rPr/>
        <w:t>三、质疑基本情况</w:t>
      </w:r>
    </w:p>
    <w:p>
      <w:pPr>
        <w:ind w:firstLine="480"/>
      </w:pPr>
      <w:r>
        <w:rPr/>
        <w:t>投诉人于 ____年____月____日,向提出质疑，质疑事项为：_____________________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 1：_____________________</w:t>
      </w:r>
    </w:p>
    <w:p>
      <w:pPr>
        <w:ind w:firstLine="480"/>
      </w:pPr>
      <w:r>
        <w:rPr/>
        <w:t>事实依据：_____________________</w:t>
      </w:r>
    </w:p>
    <w:p>
      <w:pPr>
        <w:ind w:firstLine="480"/>
      </w:pPr>
      <w:r>
        <w:rPr/>
        <w:t>法律依据：_____________________</w:t>
      </w:r>
    </w:p>
    <w:p>
      <w:pPr>
        <w:ind w:firstLine="480"/>
      </w:pPr>
      <w:r>
        <w:rPr/>
        <w:t>投诉事项2：_____________________</w:t>
      </w:r>
    </w:p>
    <w:p>
      <w:pPr>
        <w:ind w:firstLine="480"/>
      </w:pPr>
      <w:r>
        <w:rPr/>
        <w:t>……</w:t>
      </w:r>
    </w:p>
    <w:p>
      <w:pPr>
        <w:ind w:firstLine="480"/>
      </w:pPr>
      <w:r>
        <w:rPr/>
        <w:t>五、与投诉事项相关的投诉请求</w:t>
      </w:r>
    </w:p>
    <w:p>
      <w:pPr>
        <w:ind w:firstLine="480"/>
      </w:pPr>
      <w:r>
        <w:rPr/>
        <w:t>请求：________________________</w:t>
      </w:r>
    </w:p>
    <w:p>
      <w:pPr>
        <w:ind w:firstLine="480"/>
      </w:pPr>
    </w:p>
    <w:p>
      <w:r>
        <w:rPr/>
        <w:t xml:space="preserve"> 签字(签章)： ________公章________</w:t>
      </w:r>
    </w:p>
    <w:p>
      <w:r>
        <w:rPr/>
        <w:t>日期：____年____月____日</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（以下格式文件由供应商根据需要选用）</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ind w:firstLine="480"/>
      </w:pPr>
      <w:r>
        <w:rPr/>
        <w:t>一、保险责任的情形及保证金额</w:t>
      </w:r>
    </w:p>
    <w:p>
      <w:pPr>
        <w:ind w:firstLine="480"/>
      </w:pPr>
      <w:r>
        <w:rPr/>
        <w:t>（一）在投标（响应）人出现下列情形之一时，我方承担保险责任：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（二）我方承担保险责任的最高金额为人民币__________元（大写）即本项目的投标（响应）保证金金额。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我方的保证期间为：本保险凭证自__年__月__日起生效，有效期至开标日后的90天内。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 法院。</w:t>
      </w:r>
    </w:p>
    <w:p>
      <w:pPr>
        <w:ind w:firstLine="480"/>
      </w:pPr>
      <w:r>
        <w:rPr/>
        <w:t>七、保函的生效</w:t>
      </w:r>
    </w:p>
    <w:p>
      <w:pPr>
        <w:ind w:firstLine="480"/>
      </w:pPr>
      <w:r>
        <w:rPr/>
        <w:t>本保函自我方加盖公章之日起生效。</w:t>
      </w:r>
    </w:p>
    <w:p>
      <w:pPr>
        <w:ind w:firstLine="480"/>
      </w:pPr>
    </w:p>
    <w:p>
      <w:r>
        <w:rPr/>
        <w:t>保证人：_______（公章）_______</w:t>
      </w:r>
    </w:p>
    <w:p>
      <w:r>
        <w:rPr/>
        <w:t>联系人：____________________</w:t>
      </w:r>
    </w:p>
    <w:p>
      <w:r>
        <w:rPr/>
        <w:t>联系电话：____________________</w:t>
      </w:r>
    </w:p>
    <w:p>
      <w:r>
        <w:rPr/>
        <w:t>___年___月___日</w:t>
      </w:r>
    </w:p>
    <w:p>
      <w:pPr>
        <w:ind w:firstLine="480"/>
      </w:pPr>
    </w:p>
    <w:p>
      <w:r>
        <w:rPr/>
        <w:t xml:space="preserve"> </w:t>
      </w:r>
    </w:p>
    <w:p/>
    <w:p>
      <w:r>
        <w:rPr>
          <w:b/>
          <w:sz w:val="28"/>
        </w:rPr>
        <w:t>格式二十五：</w:t>
      </w:r>
    </w:p>
    <w:p>
      <w:pPr>
        <w:jc w:val="center"/>
      </w:pPr>
      <w:r>
        <w:rPr>
          <w:b/>
          <w:sz w:val="24"/>
        </w:rPr>
        <w:t>政府采购履约担保函</w:t>
      </w:r>
    </w:p>
    <w:p>
      <w:r>
        <w:rPr/>
        <w:t>编号：</w:t>
      </w:r>
    </w:p>
    <w:p>
      <w:pPr>
        <w:ind w:firstLine="480"/>
      </w:pPr>
      <w:r>
        <w:rPr/>
        <w:t>（采购人）：</w:t>
      </w:r>
    </w:p>
    <w:p>
      <w:pPr>
        <w:ind w:firstLine="480"/>
      </w:pPr>
      <w:r>
        <w:rPr/>
        <w:t>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ind w:firstLine="480"/>
      </w:pPr>
      <w:r>
        <w:rPr/>
        <w:t>一、保证金额</w:t>
      </w:r>
    </w:p>
    <w:p>
      <w:pPr>
        <w:ind w:firstLine="480"/>
      </w:pPr>
      <w:r>
        <w:rPr/>
        <w:t>我方的保证范围是主合同约定的合同价款总额的___%，数额为__________（大写），币种为</w:t>
      </w:r>
      <w:r>
        <w:rPr>
          <w:u w:val="single"/>
        </w:rPr>
        <w:t>人民币</w:t>
      </w:r>
      <w:r>
        <w:rPr/>
        <w:t>（即主合同履约保证金金额）。</w:t>
      </w:r>
    </w:p>
    <w:p>
      <w:pPr>
        <w:ind w:firstLine="480"/>
      </w:pPr>
      <w:r>
        <w:rPr/>
        <w:t>二、我方保证的方式为：连带责任保证。</w:t>
      </w:r>
    </w:p>
    <w:p>
      <w:pPr>
        <w:ind w:firstLine="480"/>
      </w:pPr>
      <w:r>
        <w:rPr/>
        <w:t>三、我方保证的期间为：本保函自开立之日起生效，至  年  月  日止。</w:t>
      </w:r>
    </w:p>
    <w:p>
      <w:pPr>
        <w:ind w:firstLine="480"/>
      </w:pPr>
      <w:r>
        <w:rPr/>
        <w:t>四、在本保函的有效期内，如被保证人违反上述合同或协议约定的义务，我方将在收到你方提交的本保函文件及符合下列全部条件的索赔通知后</w:t>
      </w:r>
      <w:r>
        <w:rPr>
          <w:u w:val="single"/>
        </w:rPr>
        <w:t>30</w:t>
      </w:r>
      <w:r>
        <w:rPr/>
        <w:t>个工作日内以上述保证金额为限支付你方索赔金额:</w:t>
      </w:r>
    </w:p>
    <w:p>
      <w:pPr>
        <w:ind w:firstLine="480"/>
      </w:pPr>
      <w:r>
        <w:rPr/>
        <w:t>(一)索赔通知文件必须以书面形式提出，列明索赔金额，并由你方法定代表人(负责人)或授权代理人签字并加盖公章;</w:t>
      </w:r>
    </w:p>
    <w:p>
      <w:pPr>
        <w:ind w:firstLine="480"/>
      </w:pPr>
      <w:r>
        <w:rPr/>
        <w:t>(二)索赔通知文件必须同时附有:</w:t>
      </w:r>
    </w:p>
    <w:p>
      <w:pPr>
        <w:ind w:firstLine="480"/>
      </w:pPr>
      <w:r>
        <w:rPr/>
        <w:t>1.一项书面声明，声明索赔款项并未由被保证人或其代理人直接或间接地支付给你方;</w:t>
      </w:r>
    </w:p>
    <w:p>
      <w:pPr>
        <w:ind w:firstLine="480"/>
      </w:pPr>
      <w:r>
        <w:rPr/>
        <w:t>2.证明被保证人违反上述合同或协议约定的义务以及有责任支付你方索赔金额的证据。</w:t>
      </w:r>
    </w:p>
    <w:p>
      <w:pPr>
        <w:ind w:firstLine="480"/>
      </w:pPr>
      <w:r>
        <w:rPr/>
        <w:t>(三)索赔通知文件必须在本保函有效期内到达以下地址：</w:t>
      </w:r>
    </w:p>
    <w:p>
      <w:pPr>
        <w:ind w:firstLine="480"/>
      </w:pPr>
      <w:r>
        <w:rPr/>
        <w:t>__________________________________________________。</w:t>
      </w:r>
    </w:p>
    <w:p>
      <w:pPr>
        <w:ind w:firstLine="480"/>
      </w:pPr>
      <w:r>
        <w:rPr/>
        <w:t>五、本保函保证金额将随被保证人逐步履行保函项下合同约定或法定的义务以及我方按你方索赔通知文件要求分次支付而相应递减。</w:t>
      </w:r>
    </w:p>
    <w:p>
      <w:pPr>
        <w:ind w:firstLine="480"/>
      </w:pPr>
      <w:r>
        <w:rPr/>
        <w:t>六、本保函项下的权利不得转让，不得设定担保。受益人未经我方书面同意转让本保函或其项下任何权利，我方在本保函项下的义务与责任全部消灭。</w:t>
      </w:r>
    </w:p>
    <w:p>
      <w:pPr>
        <w:ind w:firstLine="480"/>
      </w:pPr>
      <w:r>
        <w:rPr/>
        <w:t>七、本保函项下的合同或基础交易不成立、不生效、无效、被撤销、被解除，本保函无效;被保证人基于保函项下的合同或基础交易或其他原因的抗辩，我方均有权主张。</w:t>
      </w:r>
    </w:p>
    <w:p>
      <w:pPr>
        <w:ind w:firstLine="480"/>
      </w:pPr>
      <w:r>
        <w:rPr/>
        <w:t>八、因本保函发生争议协商解决不成，按以下第</w:t>
      </w:r>
      <w:r>
        <w:rPr>
          <w:u w:val="single"/>
        </w:rPr>
        <w:t>(一)</w:t>
      </w:r>
      <w:r>
        <w:rPr/>
        <w:t>种方式解决:</w:t>
      </w:r>
    </w:p>
    <w:p>
      <w:pPr>
        <w:ind w:firstLine="480"/>
      </w:pPr>
      <w:r>
        <w:rPr/>
        <w:t>(一)向我方所在地的人民法院起诉。</w:t>
      </w:r>
    </w:p>
    <w:p>
      <w:pPr>
        <w:ind w:firstLine="480"/>
      </w:pPr>
      <w:r>
        <w:rPr/>
        <w:t>(二)提交</w:t>
      </w:r>
      <w:r>
        <w:rPr>
          <w:u w:val="single"/>
        </w:rPr>
        <w:t>此栏空白</w:t>
      </w:r>
      <w:r>
        <w:rPr/>
        <w:t>仲裁委员会(仲裁地点为此栏空白)按照申请仲裁时该会现行有效的仲裁规则进行仲裁。仲裁裁决是终局的，对双方均有约束力。</w:t>
      </w:r>
    </w:p>
    <w:p>
      <w:pPr>
        <w:ind w:firstLine="480"/>
      </w:pPr>
      <w:r>
        <w:rPr/>
        <w:t>九、本保函适用中华人民共和国法律。</w:t>
      </w:r>
    </w:p>
    <w:p>
      <w:pPr>
        <w:ind w:firstLine="480"/>
      </w:pPr>
      <w:r>
        <w:rPr/>
        <w:t>十、其他条款:</w:t>
      </w:r>
    </w:p>
    <w:p>
      <w:pPr>
        <w:ind w:firstLine="480"/>
      </w:pPr>
      <w:r>
        <w:rPr/>
        <w:t>1.本保函有效期届满或提前终止，本保函自动失效，我方在本保函项下的义务与责任自动全部消灭，此后提出的任何索赔均为无效索赔，我方无义务作出任何赔付。</w:t>
      </w:r>
    </w:p>
    <w:p>
      <w:pPr>
        <w:ind w:firstLine="480"/>
      </w:pPr>
      <w:r>
        <w:rPr/>
        <w:t>2.所有索赔通知必须在我方工作时间内到达本保函规定的地址。</w:t>
      </w:r>
    </w:p>
    <w:p>
      <w:pPr>
        <w:ind w:firstLine="480"/>
      </w:pPr>
      <w:r>
        <w:rPr/>
        <w:t>十一、本保函自我方盖章之日起生效。</w:t>
      </w:r>
    </w:p>
    <w:p>
      <w:r>
        <w:rPr/>
        <w:t>保证人：___________(盖章)</w:t>
      </w:r>
    </w:p>
    <w:p>
      <w:r>
        <w:rPr/>
        <w:t>联系地址：_______________</w:t>
      </w:r>
    </w:p>
    <w:p>
      <w:r>
        <w:rPr/>
        <w:t>联系电话：_______________</w:t>
      </w:r>
    </w:p>
    <w:p>
      <w:r>
        <w:rPr/>
        <w:t>开立日期：___年___月___日</w:t>
      </w:r>
    </w:p>
    <w:p>
      <w:pPr>
        <w:jc w:val="center"/>
      </w:pPr>
      <w:r>
        <w:rPr>
          <w:b/>
          <w:sz w:val="24"/>
        </w:rPr>
        <w:t>采购合同履约保险凭证</w:t>
      </w:r>
    </w:p>
    <w:p>
      <w:r>
        <w:rPr/>
        <w:t>致被保险人__________：</w:t>
      </w:r>
    </w:p>
    <w:p>
      <w:pPr>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ind w:firstLine="480"/>
      </w:pPr>
      <w:r>
        <w:rPr/>
        <w:t>一、我公司对上述采购项目出具的《采购合同履约保证保险》保单号：</w:t>
      </w:r>
    </w:p>
    <w:p>
      <w:pPr>
        <w:ind w:firstLine="480"/>
      </w:pPr>
      <w:r>
        <w:rPr/>
        <w:t>二、上述保单项下我公司的保险金额（最高限额）：人民币           （￥：  元）</w:t>
      </w:r>
    </w:p>
    <w:p>
      <w:pPr>
        <w:ind w:firstLine="480"/>
      </w:pPr>
      <w:r>
        <w:rPr/>
        <w:t>上述全部保险单的保险金额随投保人逐步履行采购合同约定的义务或我公司的赔付而递减。</w:t>
      </w:r>
    </w:p>
    <w:p>
      <w:pPr>
        <w:ind w:firstLine="480"/>
      </w:pPr>
      <w:r>
        <w:rPr/>
        <w:t>三、本保险的保险期间自____年___月___日___时起至___年___月___日___时止，共计___天。</w:t>
      </w:r>
    </w:p>
    <w:p>
      <w:pPr>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30</w:t>
      </w:r>
      <w:r>
        <w:rPr/>
        <w:t>个工作日内以上述保险金额为限，支付你方索赔金额。</w:t>
      </w:r>
    </w:p>
    <w:p>
      <w:pPr>
        <w:ind w:firstLine="480"/>
      </w:pPr>
      <w:r>
        <w:rPr/>
        <w:t>（一）投保人未按照采购合同约定的时间、地点交付采购标的；</w:t>
      </w:r>
    </w:p>
    <w:p>
      <w:pPr>
        <w:ind w:firstLine="480"/>
      </w:pPr>
      <w:r>
        <w:rPr/>
        <w:t>（二）投保人供应采购标的的规格、型号、数量、质量等不符合《采购合同》的约定。</w:t>
      </w:r>
    </w:p>
    <w:p>
      <w:pPr>
        <w:ind w:firstLine="480"/>
      </w:pPr>
      <w:r>
        <w:rPr/>
        <w:t>五、索赔文件</w:t>
      </w:r>
    </w:p>
    <w:p>
      <w:pPr>
        <w:ind w:firstLine="480"/>
      </w:pPr>
      <w:r>
        <w:rPr/>
        <w:t>（一）经被保险人有权人签字、加盖被保险人公章的书面索赔声明正本，索赔声明须注明本保险凭证对应的保单号并申明如下事实：</w:t>
      </w:r>
    </w:p>
    <w:p>
      <w:pPr>
        <w:ind w:firstLine="480"/>
      </w:pPr>
      <w:r>
        <w:rPr/>
        <w:t>（1）投保人未履行采购合同相关义务；</w:t>
      </w:r>
    </w:p>
    <w:p>
      <w:pPr>
        <w:ind w:firstLine="480"/>
      </w:pPr>
      <w:r>
        <w:rPr/>
        <w:t>（2）投保人的违约事实。</w:t>
      </w:r>
    </w:p>
    <w:p>
      <w:pPr>
        <w:ind w:firstLine="480"/>
      </w:pPr>
      <w:r>
        <w:rPr/>
        <w:t>（二）保险单正本；</w:t>
      </w:r>
    </w:p>
    <w:p>
      <w:pPr>
        <w:ind w:firstLine="480"/>
      </w:pPr>
      <w:r>
        <w:rPr/>
        <w:t>（三）《采购合同》副本及与采购项目进展、质量、缺陷有关的证明文件（包括《中标通知书》、投标书及其附录、会议纪要、其他合同文件等）；</w:t>
      </w:r>
    </w:p>
    <w:p>
      <w:pPr>
        <w:ind w:firstLine="480"/>
      </w:pPr>
      <w:r>
        <w:rPr/>
        <w:t>（四）保险人要求投保人、被保险人所能提供的与确认保险事故的性质、原因、损失程度等有关的其他证明和资料；</w:t>
      </w:r>
    </w:p>
    <w:p>
      <w:pPr>
        <w:ind w:firstLine="480"/>
      </w:pPr>
      <w:r>
        <w:rPr/>
        <w:t>（五）仲裁机构出具的裁决书或法院出具的裁定书、判决书等生效法律文书（适用于仲裁或诉讼确认损失的方式）；</w:t>
      </w:r>
    </w:p>
    <w:p>
      <w:pPr>
        <w:ind w:firstLine="480"/>
      </w:pPr>
      <w:r>
        <w:rPr/>
        <w:t>六、未经保险人书面同意，本保险凭证与保险合同不得转让、质押，否则保险人在本保险凭证与保险合同项下的保险责任自动解除。</w:t>
      </w:r>
    </w:p>
    <w:p>
      <w:pPr>
        <w:ind w:firstLine="480"/>
      </w:pPr>
      <w:r>
        <w:rPr/>
        <w:t>七、本保证保险发生争议协商解决不成，向保险人所在地有管辖权的人民法院提起诉讼。</w:t>
      </w:r>
    </w:p>
    <w:p>
      <w:pPr>
        <w:ind w:firstLine="480"/>
      </w:pPr>
      <w:r>
        <w:rPr/>
        <w:t>八、本保证保险适用的保险条款为《_______________________》。</w:t>
      </w:r>
    </w:p>
    <w:p>
      <w:pPr>
        <w:ind w:firstLine="480"/>
      </w:pPr>
      <w:r>
        <w:rPr/>
        <w:t>九、保险责任免除及其他本保险凭证未载明事宜以保险合同约定为准。</w:t>
      </w:r>
    </w:p>
    <w:p>
      <w:pPr>
        <w:ind w:firstLine="480"/>
      </w:pPr>
      <w:r>
        <w:rPr/>
        <w:t>十、本保险凭证自保险人加盖保单专用章起生效。</w:t>
      </w:r>
    </w:p>
    <w:p>
      <w:r>
        <w:rPr/>
        <w:t>保证人：__________(盖章)</w:t>
      </w:r>
    </w:p>
    <w:p>
      <w:r>
        <w:rPr/>
        <w:t>地址：__________________</w:t>
      </w:r>
    </w:p>
    <w:p>
      <w:r>
        <w:rPr/>
        <w:t>电话：__________________</w:t>
      </w:r>
    </w:p>
    <w:p>
      <w:r>
        <w:rPr/>
        <w:t>开立日期：____年__月__日</w:t>
      </w:r>
    </w:p>
    <w:p>
      <w:pPr>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10" Target="media/image5.png" Type="http://schemas.openxmlformats.org/officeDocument/2006/relationships/image"/><Relationship Id="rId11" Target="media/image6.png" Type="http://schemas.openxmlformats.org/officeDocument/2006/relationships/image"/><Relationship Id="rId12" Target="media/image7.png" Type="http://schemas.openxmlformats.org/officeDocument/2006/relationships/image"/><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media/image1.png" Type="http://schemas.openxmlformats.org/officeDocument/2006/relationships/image"/><Relationship Id="rId7" Target="media/image2.png" Type="http://schemas.openxmlformats.org/officeDocument/2006/relationships/image"/><Relationship Id="rId8" Target="media/image3.png" Type="http://schemas.openxmlformats.org/officeDocument/2006/relationships/image"/><Relationship Id="rId9" Target="media/image4.png" Type="http://schemas.openxmlformats.org/officeDocument/2006/relationships/imag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