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创艺简标宋" w:hAnsi="创艺简标宋" w:eastAsia="创艺简标宋" w:cs="创艺简标宋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w w:val="95"/>
          <w:kern w:val="0"/>
          <w:sz w:val="44"/>
          <w:szCs w:val="4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紫金县住宅物业服务收费政府指导价标准</w:t>
      </w:r>
    </w:p>
    <w:p/>
    <w:tbl>
      <w:tblPr>
        <w:tblStyle w:val="2"/>
        <w:tblW w:w="841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785"/>
        <w:gridCol w:w="174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物业服务等级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基准价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（元/平方米）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浮动幅度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0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带电梯</w:t>
            </w:r>
          </w:p>
        </w:tc>
        <w:tc>
          <w:tcPr>
            <w:tcW w:w="1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上浮不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%，下浮幅度不限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无电梯</w:t>
            </w:r>
          </w:p>
        </w:tc>
        <w:tc>
          <w:tcPr>
            <w:tcW w:w="1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90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0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带电梯</w:t>
            </w:r>
          </w:p>
        </w:tc>
        <w:tc>
          <w:tcPr>
            <w:tcW w:w="1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90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4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无电梯</w:t>
            </w:r>
          </w:p>
        </w:tc>
        <w:tc>
          <w:tcPr>
            <w:tcW w:w="1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90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40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带电梯</w:t>
            </w:r>
          </w:p>
        </w:tc>
        <w:tc>
          <w:tcPr>
            <w:tcW w:w="1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0.89</w:t>
            </w:r>
          </w:p>
        </w:tc>
        <w:tc>
          <w:tcPr>
            <w:tcW w:w="2490" w:type="dxa"/>
            <w:vMerge w:val="continue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4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无电梯</w:t>
            </w:r>
          </w:p>
        </w:tc>
        <w:tc>
          <w:tcPr>
            <w:tcW w:w="1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90" w:type="dxa"/>
            <w:vMerge w:val="continue"/>
            <w:tcBorders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bookmarkEnd w:id="0"/>
      <w:bookmarkEnd w:id="1"/>
    </w:tbl>
    <w:p/>
    <w:p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浮动幅度为最高上浮幅度，下浮幅度不限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  <w:t>具体收费标准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lang w:eastAsia="zh-CN"/>
        </w:rPr>
        <w:t>由物业服务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  <w:t>业主与物业管理企业根据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lang w:eastAsia="zh-CN"/>
        </w:rPr>
        <w:t>住建部门认定对应的服务等级，在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  <w:t>基准价和浮动幅度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lang w:eastAsia="zh-CN"/>
        </w:rPr>
        <w:t>范围内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  <w:t>在物业服务合同中约定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YTk3NjUwMDhiMTA3ODU0MWFlOWJmNjNmNzI2MDMifQ=="/>
  </w:docVars>
  <w:rsids>
    <w:rsidRoot w:val="0CD912B2"/>
    <w:rsid w:val="0CD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2022-05-19T07:06:00Z</dcterms:created>
  <dc:creator>Admin</dc:creator>
  <cp:lastModifiedBy>Admin</cp:lastModifiedBy>
  <dcterms:modified xsi:type="dcterms:W3CDTF">2022-05-19T07:13:34Z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C1677D4EE28D4CBD8C5CC3B9EE6FDB6F</vt:lpwstr>
  </property>
</Properties>
</file>