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color w:val="000000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  <w:t>2021年前三季度紫金（不含临江古竹）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地区生产总值统一核算数据发布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河源市地区生产总值统一核算结果，2021年前三季度我县地区生产总值为88.61亿元，同比增长9.7%，两年平均增长4.9%。其中，第一产业增加值为22.63亿元，同比增长10.9%，两年平均增长7.0%；第二产业增加值为13.32亿元，同比增长21.2%，两年平均增长9.9%；第三产业增加值为52.67亿元，同比增长6.7%，两年平均增长3.0%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64"/>
    <w:rsid w:val="002A4A72"/>
    <w:rsid w:val="009763E1"/>
    <w:rsid w:val="00BC2864"/>
    <w:rsid w:val="049D6A28"/>
    <w:rsid w:val="1CCB7C3F"/>
    <w:rsid w:val="1CE4623E"/>
    <w:rsid w:val="284F5E18"/>
    <w:rsid w:val="3E7135B3"/>
    <w:rsid w:val="424E6B89"/>
    <w:rsid w:val="446337DF"/>
    <w:rsid w:val="4850226E"/>
    <w:rsid w:val="495752DE"/>
    <w:rsid w:val="4CD27EB3"/>
    <w:rsid w:val="4FD44B3D"/>
    <w:rsid w:val="63F205C8"/>
    <w:rsid w:val="6CC012DA"/>
    <w:rsid w:val="6EBF2588"/>
    <w:rsid w:val="71694A24"/>
    <w:rsid w:val="729B74D6"/>
    <w:rsid w:val="745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62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27</Words>
  <Characters>155</Characters>
  <Lines>1</Lines>
  <Paragraphs>1</Paragraphs>
  <TotalTime>60</TotalTime>
  <ScaleCrop>false</ScaleCrop>
  <LinksUpToDate>false</LinksUpToDate>
  <CharactersWithSpaces>181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2021-04-16T03:10:00Z</dcterms:created>
  <dc:creator>gjnbs</dc:creator>
  <cp:lastModifiedBy>潔</cp:lastModifiedBy>
  <dcterms:modified xsi:type="dcterms:W3CDTF">2021-10-25T03:22:31Z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453C8AB7372943518BA6345D1A1CBFA0</vt:lpwstr>
  </property>
</Properties>
</file>