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紫金县投资项目代办制实施办法</w:t>
      </w:r>
    </w:p>
    <w:bookmarkEnd w:id="0"/>
    <w:p>
      <w:pPr>
        <w:spacing w:line="600" w:lineRule="exact"/>
        <w:ind w:firstLine="600" w:firstLineChars="20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按照县委、县政府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《关于加大有效投资力度加快推进“两地”建设的实施意见》的部署要求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，为进一步优化营商环境，提高投资项目审批效率，推进项目早落地、早开工、早投产，根据《中共河源市委办公室关于印发&lt;河源市2017年“三个十”改革工作方案&gt;的通知》（河委办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〔2017〕14号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）、《关于促进工业经济加快发展的意见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（试行）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紫府〔201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〕6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和《紫金县工业园区鼓励投资若干政策措施》（紫府办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〔20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）文件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精神，结合我县实际，制订本实施办法。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第一条 代办机构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县成立紫金县投资项目代办工作领导小组（以下简称项目代办领导小组），由县长担任组长，常务副县长和分管工业经济的副县长担任副组长，县委办、县府办、县发改局、县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商信局、县人社局、县财政局、县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自然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资源局、县住建局、县交通运输局、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市生态环境局紫金分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局、县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应急管理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县市场监管局、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局、县公安局、县水务局、县城管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综合执法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局、县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文广旅体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局、县气象局、县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政务数据局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、县林业局、紫城工业园管委会、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蓝塘产业新城筹建办、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县公安消防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救援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大队、紫金供电局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自来水公司、紫金电信公司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主要负责人及各镇镇长为成员。领导小组下设办公室（设在县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商信局），由县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商信局主要负责人兼任办公室主任，牵头实施项目代办制。紫城工业园管委会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和蓝塘产业新城筹建办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为落户本园区的投资项目安排代办员，县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商信局为落户园区外的投资项目安排代办员。县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政务数据局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紫城工业园管委会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成立代办小组，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数据局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设立投资项目受理窗口，代办小组与上述单位代办员衔接，一并统筹落实项目代办事项。领导小组其他成员单位均要由1名副职领导担任项目代办责任领导，并指定1名业务骨干担任代办责任人，专门与代办员衔接，负责将涉及本单位的业务事项按时办理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第二条 代办原则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（一）自愿委托。凡在紫金县域范围内符合代办条件的投资项目，项目投资者均可提出申请，与项目代办领导小组签订代办委托书，由代办员代办相关审批事项。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（二）合法高效。在依法合规、不损害公共利益和投资者合法权益的前提下，提供优质高效的代办服务。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（三）全程服务。代办委托书签订后，代办员在委托范围内提供全程服务。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（四）无偿代办。除按法律、法规明确规定须由投资者缴纳的费用外，对代办项目实行免费代办服务。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（五）各方联动。建立健全部门间联动机制，加快项目审批进程。每月至少召开1次项目代办领导小组工作会议，由组长召集或委托副组长召集，会商解决代办项目重点难题。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第三条 代办范围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县域内、符合产业发展导向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且在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县本级审批、核准、备案、审核权限范围内的社会投资项目。对涉及县级以上审批权限的事项，按照对口原则，由县相关部门的项目代办责任领导和代办责任人协调上级部门办理。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第四条 代办内容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从项目签约（启动）到竣工投产所涉及的行政审批事项和相关服务事项。涉及中介技术服务机构的，原则上由投资者（项目单位）自主选择中介机构办理，项目代办领导小组提供协助、指导服务。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第五条 缩短审批时限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根据《关于印发紫金县深化投资项目审批改革实施办法的通知》（紫府〔2017〕5号），各审批部门依据审批事项办理程序规定，提前介入，了解情况，进一步压缩审批时限，提高部门审批效率。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（一）投资项目立项阶段审批时限为6个工作日:（1）项目备案或项目申请报告核准审批时限为1个工作日；（2）选址意见书审批时限为5个工作日;（3）用地意见审批时限为5个工作日;（4）环评文件审批时限为5个工作日;（5）资金安排意见时限为5个工作日;（6）涉及到项目林地审批、水土保持方案审查、安全预评价报告备案等其他单项审批时限为5个工作日（以上5个项目同步进行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此外，在投资项目立项阶段前，需办理相关手续（名称核准、执照核发），相关单位要按规定时间办结。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规划报建阶段审批时限为22个工作日。用地规划许可证审批时限为5个工作日；建设工程规划许可证审批时限为5个工作日；初步设计审批时限为7个工作日；涉及消防、人防、防雷、抗震、安全生产等其他事项审批时限为5日、施工图审查备案时限为5个工作日（以上2个项目同步进行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施工报建阶段审批时限5个工作日。施工质监时限为5个工作日；施工安监时限为5个工作日；工程施工许可（包括监理合同备案、保函备案等）时限为5个工作日；涉及到交通、水务、园林、市政、交警等临时许可审批时限为5个工作日。（以上4个项目同步进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（四）竣工验收阶段审批时限为10个工作日。验收主管部门（住建局、交通运输局、水务局）组织项目的消防、节能、环保、人防、抗震、防雷等涉及各类技术性审批、审查部门在10个工作日内完成联合审批、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第六条 代办员的主要职责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（一）指导投资者（项目单位）熟悉优惠政策、办事流程及办事指南，按项目实际情况，协助编排项目审批进度计划；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协助投资者（项目单位）分阶段准备申报材料，提供审批事项申报材料清单、须填报的表单，指导填写各类表单，并按投资项目报批流程，将申报材料递交相关审批服务窗口或相关职能部门代办责任人办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对审批过程进行跟踪，及时掌握代办项目的审批进展情况，及时向投资者（项目单位）反馈项目办理情况，做好与窗口和相关审批职能部门（单位）的沟通工作，及时发现并积极协调解决审批中出现的问题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做好代办项目相关资料的整理归档、保管和移交工作；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（五）对投资者（项目单位）提交的有关材料中所涉商业秘密、技术秘密和个人隐私负有保密责任。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第七条 投资者（项目单位）委托代办需履行的职责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（一）明确项目负责人和项目经办人，如有变动，应及时告知代办员；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（二）负责及时提供项目申报相关材料, 并确保材料真实、合法、齐备、有效，并根据审批职能部门提出的要求，及时对申报材料进行修改或补充;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（三）审批环节必须由项目单位人员到场的，应派人及时到场；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（四）按规定及时交纳各类规费。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第八条 代办工作程序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受理代办申请。对符合代办条件的申请，项目代办领导小组与投资者（项目单位）签订代办委托书，双方确定代办服务具体内容；对资料不全或者不符合法定要求的申请，须一次性告知需要补正的全部内容；不符合代办条件的，应明确告知不受理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落实代办服务。受理的代办项目，由项目代办领导小组根据项目情况及时分配代办员，由代办员负责提供代办服务。代办员在接到代办任务后，应于第二个工作日前主动联系投资者（项目单位），了解项目相关情况，开展代办服务。对项目代办过程中出现的问题，代办员应主动承担起协调责任，主动协调解决。代办员无法协调解决的，应及时报项目代办领导小组办公室（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商信局），由项目代办领导小组办公室协调解决，或者提交项目代办领导小组工作会议讨论解决。代办员要做好所承办项目的基本情况、代办进展情况、存在问题和调处结果等记录，并每月2日前，将项目代办进展情况及存在问题报项目代办领导小组办公室。项目代办领导小组办公室每月10日前，汇总全县项目代办情况及存在问题，上报项目代办领导小组或发布在项目代办工作微信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代办办结或终止代办。项目代办完成后，代办员应及时向投资者（项目单位）移交有关资料，并办理代办服务办结手续，经投资者（项目单位）签字确认后，该项目代办结束。因项目本身不具备办结条件或投资者（项目单位）要求终止代办委托的，代办员与投资者（项目单位）办理终止委托代办手续，注明终止原因并移交相关资料。同时代办员应及时将有关资料整理并交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政务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服务中心，由县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政务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服务中心归档备查。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第九条 监督管理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紫城工业园管委会、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蓝塘产业新城筹建办、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政务数据局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商信局要加强对代办员的培训、管理和监督，各成员单位要加强对本单位的项目代办责任领导、代办责任人的管理和监督，项目代办责任领导、代办责任人如有调整，应及时报项目代办领导小组办公室（县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商信局）。代办工作要自觉接受监察部门、审批管理部门、企业、群众和新闻媒体的监督，确保代办事项按时限或提前办结。县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政务数据局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要设置意见箱或监督服务热线，及时受理、调处项目代办过程中的有关投诉，征求投资者（项目单位）对代办工作和代办员的意见建议，总结经验，不断完善代办机制，提升服务水平。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第十条 奖惩措施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在代办工作中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表现突出的单位和个人，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经项目代办领导小组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推荐，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由县政府发文表彰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对在代办过程中推诿扯皮、吃拿卡要、不作为、乱作为的单位和人员给予通报批评，情节严重或有违法违纪行为的，移交县纪委、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监委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第十一条 本办法由紫金县投资项目代办工作领导小组办公室负责解释，自发文之日起施行。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4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color w:val="auto"/>
          <w:kern w:val="48"/>
          <w:sz w:val="32"/>
          <w:szCs w:val="32"/>
        </w:rPr>
        <w:t>1.紫金县受理社会投资项目“代办制”办理情况统计表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2.紫金县受理社会投资项目“代办制”工作事项明白卡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3.紫金县社会投资项目委托代办协议书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4.社会投资项目代办工作流程示意图</w:t>
      </w:r>
    </w:p>
    <w:sectPr>
      <w:footerReference r:id="rId3" w:type="default"/>
      <w:pgSz w:w="11906" w:h="16838"/>
      <w:pgMar w:top="1417" w:right="1531" w:bottom="1418" w:left="1531" w:header="851" w:footer="992" w:gutter="0"/>
      <w:pgNumType w:fmt="numberInDash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w:rPr>
        <w:sz w:val="18"/>
      </w:rPr>
      <w:pict>
        <v:shape id="_x0000_s4101" o:spid="_x0000_s4101" o:spt="202" type="#_x0000_t202" style="position:absolute;left:0pt;margin-top:0pt;height:144pt;width:144pt;mso-position-horizontal:center;mso-position-horizontal-relative:margin;mso-wrap-style:none;z-index:204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Style w:val="8"/>
                    <w:rFonts w:cs="Times New Roman"/>
                  </w:rPr>
                </w:pPr>
                <w:r>
                  <w:rPr>
                    <w:rStyle w:val="8"/>
                  </w:rPr>
                  <w:fldChar w:fldCharType="begin"/>
                </w:r>
                <w:r>
                  <w:rPr>
                    <w:rStyle w:val="8"/>
                  </w:rPr>
                  <w:instrText xml:space="preserve">PAGE  </w:instrText>
                </w:r>
                <w:r>
                  <w:rPr>
                    <w:rStyle w:val="8"/>
                  </w:rPr>
                  <w:fldChar w:fldCharType="separate"/>
                </w:r>
                <w:r>
                  <w:rPr>
                    <w:rStyle w:val="8"/>
                  </w:rPr>
                  <w:t>- 3 -</w:t>
                </w:r>
                <w:r>
                  <w:rPr>
                    <w:rStyle w:val="8"/>
                  </w:rPr>
                  <w:fldChar w:fldCharType="end"/>
                </w:r>
              </w:p>
            </w:txbxContent>
          </v:textbox>
        </v:shape>
      </w:pict>
    </w:r>
    <w:r>
      <w:pict>
        <v:shape id="_x0000_s4102" o:spid="_x0000_s4102" o:spt="202" type="#_x0000_t202" style="position:absolute;left:0pt;margin-top:0pt;height:144pt;width:144pt;mso-position-horizontal:outside;mso-position-horizontal-relative:margin;mso-wrap-style:none;z-index:1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cs="Times New Roman"/>
                    <w:sz w:val="24"/>
                    <w:szCs w:val="24"/>
                  </w:rPr>
                </w:pP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5A2A9"/>
    <w:multiLevelType w:val="singleLevel"/>
    <w:tmpl w:val="5995A2A9"/>
    <w:lvl w:ilvl="0" w:tentative="0">
      <w:start w:val="4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F89214F"/>
    <w:rsid w:val="00041F79"/>
    <w:rsid w:val="00057D0B"/>
    <w:rsid w:val="000B3941"/>
    <w:rsid w:val="00141CA9"/>
    <w:rsid w:val="001836F6"/>
    <w:rsid w:val="001855CB"/>
    <w:rsid w:val="001C4EA3"/>
    <w:rsid w:val="00234319"/>
    <w:rsid w:val="002516DF"/>
    <w:rsid w:val="00276BE4"/>
    <w:rsid w:val="00293378"/>
    <w:rsid w:val="002D2D54"/>
    <w:rsid w:val="00333FFA"/>
    <w:rsid w:val="00366A58"/>
    <w:rsid w:val="003B3DF6"/>
    <w:rsid w:val="003D05C4"/>
    <w:rsid w:val="003F5E87"/>
    <w:rsid w:val="00444B33"/>
    <w:rsid w:val="004565C4"/>
    <w:rsid w:val="004906A4"/>
    <w:rsid w:val="004A51F7"/>
    <w:rsid w:val="004A76A6"/>
    <w:rsid w:val="004D64D1"/>
    <w:rsid w:val="0050471D"/>
    <w:rsid w:val="00506D2E"/>
    <w:rsid w:val="00513AF3"/>
    <w:rsid w:val="00515A7E"/>
    <w:rsid w:val="00551C08"/>
    <w:rsid w:val="005731D9"/>
    <w:rsid w:val="005A2C7E"/>
    <w:rsid w:val="005F5E7C"/>
    <w:rsid w:val="00623831"/>
    <w:rsid w:val="00630FB5"/>
    <w:rsid w:val="00635227"/>
    <w:rsid w:val="00652C1C"/>
    <w:rsid w:val="00694740"/>
    <w:rsid w:val="006C4387"/>
    <w:rsid w:val="00704D7C"/>
    <w:rsid w:val="00723398"/>
    <w:rsid w:val="0073264B"/>
    <w:rsid w:val="00734838"/>
    <w:rsid w:val="00760A1A"/>
    <w:rsid w:val="00763DF4"/>
    <w:rsid w:val="00785133"/>
    <w:rsid w:val="007926D5"/>
    <w:rsid w:val="007F645E"/>
    <w:rsid w:val="00817430"/>
    <w:rsid w:val="00831707"/>
    <w:rsid w:val="008321DD"/>
    <w:rsid w:val="00857E35"/>
    <w:rsid w:val="00874861"/>
    <w:rsid w:val="0089337D"/>
    <w:rsid w:val="008C15E6"/>
    <w:rsid w:val="00922719"/>
    <w:rsid w:val="00932E58"/>
    <w:rsid w:val="00A0450A"/>
    <w:rsid w:val="00A07100"/>
    <w:rsid w:val="00A16C59"/>
    <w:rsid w:val="00A45BDE"/>
    <w:rsid w:val="00A80451"/>
    <w:rsid w:val="00B24CC2"/>
    <w:rsid w:val="00B46122"/>
    <w:rsid w:val="00B5229C"/>
    <w:rsid w:val="00B63168"/>
    <w:rsid w:val="00B7389B"/>
    <w:rsid w:val="00BA5E4A"/>
    <w:rsid w:val="00BD55A8"/>
    <w:rsid w:val="00BE0EBB"/>
    <w:rsid w:val="00BE2A83"/>
    <w:rsid w:val="00BF08DD"/>
    <w:rsid w:val="00BF3BBC"/>
    <w:rsid w:val="00C34D75"/>
    <w:rsid w:val="00C623B5"/>
    <w:rsid w:val="00C6466B"/>
    <w:rsid w:val="00CA1809"/>
    <w:rsid w:val="00CB04A7"/>
    <w:rsid w:val="00CF1B31"/>
    <w:rsid w:val="00D13658"/>
    <w:rsid w:val="00D25040"/>
    <w:rsid w:val="00D32CC5"/>
    <w:rsid w:val="00D41A77"/>
    <w:rsid w:val="00D50E1D"/>
    <w:rsid w:val="00DA084D"/>
    <w:rsid w:val="00DA0F73"/>
    <w:rsid w:val="00DB5EFE"/>
    <w:rsid w:val="00E06C9D"/>
    <w:rsid w:val="00E2030D"/>
    <w:rsid w:val="00E517D3"/>
    <w:rsid w:val="00E65563"/>
    <w:rsid w:val="00EA6272"/>
    <w:rsid w:val="00EE1149"/>
    <w:rsid w:val="00F31AED"/>
    <w:rsid w:val="00FF5B90"/>
    <w:rsid w:val="049C6BEA"/>
    <w:rsid w:val="07A53F7C"/>
    <w:rsid w:val="09452CEF"/>
    <w:rsid w:val="09FB024B"/>
    <w:rsid w:val="0C517ABA"/>
    <w:rsid w:val="1088119E"/>
    <w:rsid w:val="11A0657B"/>
    <w:rsid w:val="11D219DA"/>
    <w:rsid w:val="140A3172"/>
    <w:rsid w:val="16615DBA"/>
    <w:rsid w:val="186E4F24"/>
    <w:rsid w:val="197D3DDE"/>
    <w:rsid w:val="19881444"/>
    <w:rsid w:val="1B661B27"/>
    <w:rsid w:val="1D34017C"/>
    <w:rsid w:val="1F89214F"/>
    <w:rsid w:val="276658B1"/>
    <w:rsid w:val="2C470229"/>
    <w:rsid w:val="2D061C74"/>
    <w:rsid w:val="2DB974F2"/>
    <w:rsid w:val="32927668"/>
    <w:rsid w:val="3459711E"/>
    <w:rsid w:val="349E255C"/>
    <w:rsid w:val="3A67531E"/>
    <w:rsid w:val="41821333"/>
    <w:rsid w:val="49A36008"/>
    <w:rsid w:val="56067136"/>
    <w:rsid w:val="596E4DD7"/>
    <w:rsid w:val="5DF04347"/>
    <w:rsid w:val="5EFC2668"/>
    <w:rsid w:val="62450416"/>
    <w:rsid w:val="66D800C5"/>
    <w:rsid w:val="68C67502"/>
    <w:rsid w:val="6E981D85"/>
    <w:rsid w:val="714F67E1"/>
    <w:rsid w:val="72175954"/>
    <w:rsid w:val="734D6D9E"/>
    <w:rsid w:val="740A08F2"/>
    <w:rsid w:val="74674F86"/>
    <w:rsid w:val="779D6AE9"/>
    <w:rsid w:val="7E90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qFormat/>
    <w:uiPriority w:val="99"/>
  </w:style>
  <w:style w:type="character" w:styleId="9">
    <w:name w:val="FollowedHyperlink"/>
    <w:basedOn w:val="7"/>
    <w:qFormat/>
    <w:uiPriority w:val="99"/>
    <w:rPr>
      <w:color w:val="auto"/>
      <w:sz w:val="18"/>
      <w:szCs w:val="18"/>
      <w:u w:val="none"/>
    </w:rPr>
  </w:style>
  <w:style w:type="character" w:styleId="10">
    <w:name w:val="Hyperlink"/>
    <w:basedOn w:val="7"/>
    <w:qFormat/>
    <w:uiPriority w:val="99"/>
    <w:rPr>
      <w:color w:val="auto"/>
      <w:sz w:val="18"/>
      <w:szCs w:val="18"/>
      <w:u w:val="none"/>
    </w:rPr>
  </w:style>
  <w:style w:type="character" w:customStyle="1" w:styleId="11">
    <w:name w:val="标题 1 Char"/>
    <w:basedOn w:val="7"/>
    <w:link w:val="2"/>
    <w:qFormat/>
    <w:locked/>
    <w:uiPriority w:val="99"/>
    <w:rPr>
      <w:rFonts w:ascii="Calibri" w:hAnsi="Calibri" w:cs="Calibri"/>
      <w:b/>
      <w:bCs/>
      <w:kern w:val="44"/>
      <w:sz w:val="44"/>
      <w:szCs w:val="44"/>
    </w:rPr>
  </w:style>
  <w:style w:type="character" w:customStyle="1" w:styleId="12">
    <w:name w:val="页脚 Char"/>
    <w:basedOn w:val="7"/>
    <w:link w:val="3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3">
    <w:name w:val="页眉 Char"/>
    <w:basedOn w:val="7"/>
    <w:link w:val="4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4">
    <w:name w:val="close"/>
    <w:basedOn w:val="7"/>
    <w:qFormat/>
    <w:uiPriority w:val="99"/>
  </w:style>
  <w:style w:type="character" w:customStyle="1" w:styleId="15">
    <w:name w:val="open"/>
    <w:basedOn w:val="7"/>
    <w:qFormat/>
    <w:uiPriority w:val="99"/>
  </w:style>
  <w:style w:type="paragraph" w:customStyle="1" w:styleId="16">
    <w:name w:val="_Style 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1" textRotate="1"/>
    <customShpInfo spid="_x0000_s410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543</Words>
  <Characters>3099</Characters>
  <Lines>25</Lines>
  <Paragraphs>7</Paragraphs>
  <TotalTime>12</TotalTime>
  <ScaleCrop>false</ScaleCrop>
  <LinksUpToDate>false</LinksUpToDate>
  <CharactersWithSpaces>3635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2017-08-17T12:27:00Z</dcterms:created>
  <dc:creator>Administrator</dc:creator>
  <cp:lastModifiedBy>Administrator</cp:lastModifiedBy>
  <cp:lastPrinted>2017-09-25T07:02:00Z</cp:lastPrinted>
  <dcterms:modified xsi:type="dcterms:W3CDTF">2020-11-12T07:52:39Z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