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val="0"/>
        <w:overflowPunct/>
        <w:topLinePunct w:val="0"/>
        <w:autoSpaceDE/>
        <w:autoSpaceDN/>
        <w:bidi w:val="0"/>
        <w:adjustRightInd/>
        <w:snapToGrid/>
        <w:spacing w:line="640" w:lineRule="exact"/>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附件1：</w:t>
      </w:r>
    </w:p>
    <w:p>
      <w:pPr>
        <w:keepNext w:val="0"/>
        <w:keepLines w:val="0"/>
        <w:pageBreakBefore w:val="0"/>
        <w:widowControl w:val="0"/>
        <w:numPr>
          <w:ilvl w:val="0"/>
          <w:numId w:val="0"/>
        </w:numPr>
        <w:kinsoku/>
        <w:wordWrap w:val="0"/>
        <w:overflowPunct/>
        <w:topLinePunct w:val="0"/>
        <w:autoSpaceDE/>
        <w:autoSpaceDN/>
        <w:bidi w:val="0"/>
        <w:adjustRightInd/>
        <w:snapToGrid/>
        <w:spacing w:line="320" w:lineRule="exact"/>
        <w:jc w:val="center"/>
        <w:textAlignment w:val="auto"/>
        <w:rPr>
          <w:rFonts w:hint="eastAsia" w:ascii="宋体" w:hAnsi="宋体" w:eastAsia="方正小标宋简体" w:cs="方正小标宋简体"/>
          <w:b w:val="0"/>
          <w:bCs w:val="0"/>
          <w:sz w:val="40"/>
          <w:szCs w:val="40"/>
          <w:lang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640" w:lineRule="exact"/>
        <w:jc w:val="center"/>
        <w:textAlignment w:val="auto"/>
        <w:rPr>
          <w:rFonts w:hint="eastAsia" w:ascii="宋体" w:hAnsi="宋体" w:eastAsia="方正小标宋简体" w:cs="方正小标宋简体"/>
          <w:b w:val="0"/>
          <w:bCs w:val="0"/>
          <w:sz w:val="40"/>
          <w:szCs w:val="40"/>
        </w:rPr>
      </w:pPr>
      <w:r>
        <w:rPr>
          <w:rFonts w:hint="eastAsia" w:ascii="宋体" w:hAnsi="宋体" w:eastAsia="方正小标宋简体" w:cs="方正小标宋简体"/>
          <w:b w:val="0"/>
          <w:bCs w:val="0"/>
          <w:sz w:val="40"/>
          <w:szCs w:val="40"/>
          <w:lang w:eastAsia="zh-CN"/>
        </w:rPr>
        <w:t>紫金</w:t>
      </w:r>
      <w:r>
        <w:rPr>
          <w:rFonts w:hint="eastAsia" w:ascii="宋体" w:hAnsi="宋体" w:eastAsia="方正小标宋简体" w:cs="方正小标宋简体"/>
          <w:b w:val="0"/>
          <w:bCs w:val="0"/>
          <w:sz w:val="40"/>
          <w:szCs w:val="40"/>
        </w:rPr>
        <w:t>县202</w:t>
      </w:r>
      <w:r>
        <w:rPr>
          <w:rFonts w:hint="eastAsia" w:ascii="宋体" w:hAnsi="宋体" w:eastAsia="方正小标宋简体" w:cs="方正小标宋简体"/>
          <w:b w:val="0"/>
          <w:bCs w:val="0"/>
          <w:sz w:val="40"/>
          <w:szCs w:val="40"/>
          <w:lang w:val="en-US" w:eastAsia="zh-CN"/>
        </w:rPr>
        <w:t>5</w:t>
      </w:r>
      <w:r>
        <w:rPr>
          <w:rFonts w:hint="eastAsia" w:ascii="宋体" w:hAnsi="宋体" w:eastAsia="方正小标宋简体" w:cs="方正小标宋简体"/>
          <w:b w:val="0"/>
          <w:bCs w:val="0"/>
          <w:sz w:val="40"/>
          <w:szCs w:val="40"/>
        </w:rPr>
        <w:t>年中央农业经营主体能力提升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简体" w:cs="方正小标宋简体"/>
          <w:b w:val="0"/>
          <w:bCs w:val="0"/>
          <w:sz w:val="40"/>
          <w:szCs w:val="40"/>
        </w:rPr>
      </w:pPr>
      <w:r>
        <w:rPr>
          <w:rFonts w:hint="eastAsia" w:ascii="宋体" w:hAnsi="宋体" w:eastAsia="方正小标宋简体" w:cs="方正小标宋简体"/>
          <w:b w:val="0"/>
          <w:bCs w:val="0"/>
          <w:sz w:val="40"/>
          <w:szCs w:val="40"/>
        </w:rPr>
        <w:t>资金—新型农业经营主体培育项目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简体" w:cs="方正小标宋简体"/>
          <w:b w:val="0"/>
          <w:bCs w:val="0"/>
          <w:sz w:val="40"/>
          <w:szCs w:val="40"/>
        </w:rPr>
      </w:pPr>
      <w:r>
        <w:rPr>
          <w:rFonts w:hint="eastAsia" w:ascii="宋体" w:hAnsi="宋体" w:eastAsia="方正小标宋简体" w:cs="方正小标宋简体"/>
          <w:b w:val="0"/>
          <w:bCs w:val="0"/>
          <w:sz w:val="40"/>
          <w:szCs w:val="40"/>
        </w:rPr>
        <w:t>实施方案</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为加快推动新型农业经营主体高质量发展，做好我县202</w:t>
      </w:r>
      <w:r>
        <w:rPr>
          <w:rFonts w:hint="eastAsia" w:ascii="宋体" w:hAnsi="宋体" w:eastAsia="方正仿宋简体" w:cs="方正仿宋简体"/>
          <w:sz w:val="32"/>
          <w:szCs w:val="32"/>
          <w:lang w:val="en-US" w:eastAsia="zh-CN"/>
        </w:rPr>
        <w:t>5</w:t>
      </w:r>
      <w:r>
        <w:rPr>
          <w:rFonts w:hint="eastAsia" w:ascii="宋体" w:hAnsi="宋体" w:eastAsia="方正仿宋简体" w:cs="方正仿宋简体"/>
          <w:sz w:val="32"/>
          <w:szCs w:val="32"/>
        </w:rPr>
        <w:t>年度新型农业经营主体培育工作，根据</w:t>
      </w:r>
      <w:r>
        <w:rPr>
          <w:rFonts w:hint="eastAsia" w:ascii="宋体" w:hAnsi="宋体" w:eastAsia="方正仿宋简体" w:cs="方正仿宋简体"/>
          <w:color w:val="000000"/>
          <w:sz w:val="32"/>
          <w:szCs w:val="32"/>
          <w:lang w:eastAsia="zh-CN"/>
        </w:rPr>
        <w:t>《</w:t>
      </w:r>
      <w:r>
        <w:rPr>
          <w:rFonts w:hint="eastAsia" w:ascii="宋体" w:hAnsi="宋体" w:eastAsia="方正仿宋简体" w:cs="方正仿宋简体"/>
          <w:color w:val="000000"/>
          <w:sz w:val="32"/>
          <w:szCs w:val="32"/>
        </w:rPr>
        <w:t>关于印发</w:t>
      </w:r>
      <w:r>
        <w:rPr>
          <w:rFonts w:hint="eastAsia" w:ascii="宋体" w:hAnsi="宋体" w:eastAsia="方正仿宋简体" w:cs="方正仿宋简体"/>
          <w:color w:val="000000"/>
          <w:sz w:val="32"/>
          <w:szCs w:val="32"/>
          <w:lang w:eastAsia="zh-CN"/>
        </w:rPr>
        <w:t>〈</w:t>
      </w:r>
      <w:r>
        <w:rPr>
          <w:rFonts w:hint="eastAsia" w:ascii="宋体" w:hAnsi="宋体" w:eastAsia="方正仿宋简体" w:cs="方正仿宋简体"/>
          <w:color w:val="000000"/>
          <w:sz w:val="32"/>
          <w:szCs w:val="32"/>
        </w:rPr>
        <w:t>广东省2025年中央农业经营主体能力提升资金一新型农业经营主体培育项目实施</w:t>
      </w:r>
      <w:r>
        <w:rPr>
          <w:rFonts w:hint="eastAsia" w:ascii="宋体" w:hAnsi="宋体" w:eastAsia="方正仿宋简体" w:cs="方正仿宋简体"/>
          <w:color w:val="000000"/>
          <w:sz w:val="32"/>
          <w:szCs w:val="32"/>
          <w:lang w:val="en-US" w:eastAsia="zh-CN"/>
        </w:rPr>
        <w:t>方</w:t>
      </w:r>
      <w:r>
        <w:rPr>
          <w:rFonts w:hint="eastAsia" w:ascii="宋体" w:hAnsi="宋体" w:eastAsia="方正仿宋简体" w:cs="方正仿宋简体"/>
          <w:color w:val="000000"/>
          <w:sz w:val="32"/>
          <w:szCs w:val="32"/>
        </w:rPr>
        <w:t>案</w:t>
      </w:r>
      <w:r>
        <w:rPr>
          <w:rFonts w:hint="eastAsia" w:ascii="宋体" w:hAnsi="宋体" w:eastAsia="方正仿宋简体" w:cs="方正仿宋简体"/>
          <w:color w:val="000000"/>
          <w:sz w:val="32"/>
          <w:szCs w:val="32"/>
          <w:lang w:eastAsia="zh-CN"/>
        </w:rPr>
        <w:t>〉的通知》</w:t>
      </w:r>
      <w:r>
        <w:rPr>
          <w:rFonts w:hint="eastAsia" w:ascii="宋体" w:hAnsi="宋体" w:eastAsia="方正仿宋简体" w:cs="方正仿宋简体"/>
          <w:color w:val="000000"/>
          <w:sz w:val="32"/>
          <w:szCs w:val="32"/>
        </w:rPr>
        <w:t>（粤农</w:t>
      </w:r>
      <w:r>
        <w:rPr>
          <w:rFonts w:hint="eastAsia" w:ascii="宋体" w:hAnsi="宋体" w:eastAsia="方正仿宋简体" w:cs="方正仿宋简体"/>
          <w:color w:val="000000"/>
          <w:sz w:val="32"/>
          <w:szCs w:val="32"/>
          <w:lang w:eastAsia="zh-CN"/>
        </w:rPr>
        <w:t>农计</w:t>
      </w:r>
      <w:r>
        <w:rPr>
          <w:rFonts w:hint="eastAsia" w:ascii="宋体" w:hAnsi="宋体" w:eastAsia="方正仿宋简体" w:cs="方正仿宋简体"/>
          <w:color w:val="000000"/>
          <w:sz w:val="32"/>
          <w:szCs w:val="32"/>
        </w:rPr>
        <w:t>〔202</w:t>
      </w:r>
      <w:r>
        <w:rPr>
          <w:rFonts w:hint="eastAsia" w:ascii="宋体" w:hAnsi="宋体" w:eastAsia="方正仿宋简体" w:cs="方正仿宋简体"/>
          <w:color w:val="000000"/>
          <w:sz w:val="32"/>
          <w:szCs w:val="32"/>
          <w:lang w:val="en-US" w:eastAsia="zh-CN"/>
        </w:rPr>
        <w:t>5</w:t>
      </w:r>
      <w:r>
        <w:rPr>
          <w:rFonts w:hint="eastAsia" w:ascii="宋体" w:hAnsi="宋体" w:eastAsia="方正仿宋简体" w:cs="方正仿宋简体"/>
          <w:color w:val="000000"/>
          <w:sz w:val="32"/>
          <w:szCs w:val="32"/>
        </w:rPr>
        <w:t>〕</w:t>
      </w:r>
      <w:r>
        <w:rPr>
          <w:rFonts w:hint="eastAsia" w:ascii="宋体" w:hAnsi="宋体" w:eastAsia="方正仿宋简体" w:cs="方正仿宋简体"/>
          <w:color w:val="000000"/>
          <w:sz w:val="32"/>
          <w:szCs w:val="32"/>
          <w:lang w:val="en-US" w:eastAsia="zh-CN"/>
        </w:rPr>
        <w:t>41</w:t>
      </w:r>
      <w:r>
        <w:rPr>
          <w:rFonts w:hint="eastAsia" w:ascii="宋体" w:hAnsi="宋体" w:eastAsia="方正仿宋简体" w:cs="方正仿宋简体"/>
          <w:color w:val="000000"/>
          <w:sz w:val="32"/>
          <w:szCs w:val="32"/>
        </w:rPr>
        <w:t>号）</w:t>
      </w:r>
      <w:r>
        <w:rPr>
          <w:rFonts w:hint="eastAsia" w:ascii="宋体" w:hAnsi="宋体" w:eastAsia="方正仿宋简体" w:cs="方正仿宋简体"/>
          <w:color w:val="000000"/>
          <w:sz w:val="32"/>
          <w:szCs w:val="32"/>
          <w:lang w:val="en-US" w:eastAsia="zh-CN"/>
        </w:rPr>
        <w:t>和</w:t>
      </w:r>
      <w:r>
        <w:rPr>
          <w:rFonts w:hint="eastAsia" w:ascii="宋体" w:hAnsi="宋体" w:eastAsia="方正仿宋简体" w:cs="方正仿宋简体"/>
          <w:color w:val="000000"/>
          <w:sz w:val="32"/>
          <w:szCs w:val="32"/>
          <w:lang w:eastAsia="zh-CN"/>
        </w:rPr>
        <w:t>《</w:t>
      </w:r>
      <w:r>
        <w:rPr>
          <w:rFonts w:hint="eastAsia" w:ascii="宋体" w:hAnsi="宋体" w:eastAsia="方正仿宋简体" w:cs="方正仿宋简体"/>
          <w:color w:val="000000"/>
          <w:sz w:val="32"/>
          <w:szCs w:val="32"/>
          <w:lang w:val="en-US" w:eastAsia="zh-CN"/>
        </w:rPr>
        <w:t>关于下达2025年中央农业经营主体能力提升资金的通知》（紫财农</w:t>
      </w:r>
      <w:r>
        <w:rPr>
          <w:rFonts w:hint="eastAsia" w:ascii="宋体" w:hAnsi="宋体" w:eastAsia="方正仿宋简体" w:cs="方正仿宋简体"/>
          <w:color w:val="000000"/>
          <w:sz w:val="32"/>
          <w:szCs w:val="32"/>
        </w:rPr>
        <w:t>〔202</w:t>
      </w:r>
      <w:r>
        <w:rPr>
          <w:rFonts w:hint="eastAsia" w:ascii="宋体" w:hAnsi="宋体" w:eastAsia="方正仿宋简体" w:cs="方正仿宋简体"/>
          <w:color w:val="000000"/>
          <w:sz w:val="32"/>
          <w:szCs w:val="32"/>
          <w:lang w:val="en-US" w:eastAsia="zh-CN"/>
        </w:rPr>
        <w:t>5</w:t>
      </w:r>
      <w:r>
        <w:rPr>
          <w:rFonts w:hint="eastAsia" w:ascii="宋体" w:hAnsi="宋体" w:eastAsia="方正仿宋简体" w:cs="方正仿宋简体"/>
          <w:color w:val="000000"/>
          <w:sz w:val="32"/>
          <w:szCs w:val="32"/>
        </w:rPr>
        <w:t>〕</w:t>
      </w:r>
      <w:r>
        <w:rPr>
          <w:rFonts w:hint="eastAsia" w:ascii="宋体" w:hAnsi="宋体" w:eastAsia="方正仿宋简体" w:cs="方正仿宋简体"/>
          <w:color w:val="000000"/>
          <w:sz w:val="32"/>
          <w:szCs w:val="32"/>
          <w:lang w:val="en-US" w:eastAsia="zh-CN"/>
        </w:rPr>
        <w:t>23</w:t>
      </w:r>
      <w:r>
        <w:rPr>
          <w:rFonts w:hint="eastAsia" w:ascii="宋体" w:hAnsi="宋体" w:eastAsia="方正仿宋简体" w:cs="方正仿宋简体"/>
          <w:color w:val="000000"/>
          <w:sz w:val="32"/>
          <w:szCs w:val="32"/>
        </w:rPr>
        <w:t>号</w:t>
      </w:r>
      <w:r>
        <w:rPr>
          <w:rFonts w:hint="eastAsia" w:ascii="宋体" w:hAnsi="宋体" w:eastAsia="方正仿宋简体" w:cs="方正仿宋简体"/>
          <w:color w:val="000000"/>
          <w:sz w:val="32"/>
          <w:szCs w:val="32"/>
          <w:lang w:val="en-US" w:eastAsia="zh-CN"/>
        </w:rPr>
        <w:t>）文件</w:t>
      </w:r>
      <w:r>
        <w:rPr>
          <w:rFonts w:hint="eastAsia" w:ascii="宋体" w:hAnsi="宋体" w:eastAsia="方正仿宋简体" w:cs="方正仿宋简体"/>
          <w:color w:val="000000"/>
          <w:sz w:val="32"/>
          <w:szCs w:val="32"/>
        </w:rPr>
        <w:t>要求，结合我县实际，制定本实施方案。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以习近平新时代中国特色社会主义思想为指导，以加快构建现代农业经营体系为目的，以标杆农民合作社和家庭农场培育为重点，推动农民合作社和家庭农场夯实组织规范运行基础、提高粮油单产和生产经营等水平，提升联农带农服务能力，引领全省新型农业经营主体高质量发展，服务带动小农户进入现代农业发展轨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二、目标任务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资金主要用于支持纳入省标杆农民合作社和标杆家庭农场入围名单，且纳入农业农村部重点监测农民合作社名录库和全国家庭农场“一码通”服务系统的农民合作社和家庭农场开展培育。具体支持的农民合作社和家庭农场应符合以下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rPr>
      </w:pPr>
      <w:r>
        <w:rPr>
          <w:rFonts w:hint="eastAsia" w:ascii="宋体" w:hAnsi="宋体" w:eastAsia="方正楷体简体" w:cs="方正楷体简体"/>
          <w:b w:val="0"/>
          <w:bCs w:val="0"/>
          <w:sz w:val="32"/>
          <w:szCs w:val="32"/>
        </w:rPr>
        <w:t>一是经营规模适度。</w:t>
      </w:r>
      <w:r>
        <w:rPr>
          <w:rFonts w:hint="eastAsia" w:ascii="宋体" w:hAnsi="宋体" w:eastAsia="方正仿宋简体" w:cs="方正仿宋简体"/>
          <w:sz w:val="32"/>
          <w:szCs w:val="32"/>
        </w:rPr>
        <w:t>经营规模与资源禀赋、技术装备、生产能力等条件相匹配，不片面追求土地等生产资料过度集中或超大规模经营。用于生产经营的土地涉及经营权出租、入股的，应参照《农村土地经营权出租合同（示范文本）》和《农村土地经营权入股合同（示范文本）》订立合同，并在合同中准确标明相关承包地块代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rPr>
      </w:pPr>
      <w:r>
        <w:rPr>
          <w:rFonts w:hint="eastAsia" w:ascii="宋体" w:hAnsi="宋体" w:eastAsia="方正楷体简体" w:cs="方正楷体简体"/>
          <w:b w:val="0"/>
          <w:bCs w:val="0"/>
          <w:sz w:val="32"/>
          <w:szCs w:val="32"/>
        </w:rPr>
        <w:t>二是财务管理规范。</w:t>
      </w:r>
      <w:r>
        <w:rPr>
          <w:rFonts w:hint="eastAsia" w:ascii="宋体" w:hAnsi="宋体" w:eastAsia="方正仿宋简体" w:cs="方正仿宋简体"/>
          <w:sz w:val="32"/>
          <w:szCs w:val="32"/>
        </w:rPr>
        <w:t>农民合作社配备必要的会计人员或委托代理记账机构代理记账、核算，会计账簿齐全，财务报表符合《农民专业合作社财务制度》《农民专业合作社会计制度》要求，及时通过国家企业信用信息公示系统报送年度报告并向社会公示。家庭农场使用相应的财务记账工具，收支、库存等记录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rPr>
      </w:pPr>
      <w:r>
        <w:rPr>
          <w:rFonts w:hint="eastAsia" w:ascii="宋体" w:hAnsi="宋体" w:eastAsia="方正楷体简体" w:cs="方正楷体简体"/>
          <w:b w:val="0"/>
          <w:bCs w:val="0"/>
          <w:sz w:val="32"/>
          <w:szCs w:val="32"/>
        </w:rPr>
        <w:t>三是制度健全有效。</w:t>
      </w:r>
      <w:r>
        <w:rPr>
          <w:rFonts w:hint="eastAsia" w:ascii="宋体" w:hAnsi="宋体" w:eastAsia="方正仿宋简体" w:cs="方正仿宋简体"/>
          <w:sz w:val="32"/>
          <w:szCs w:val="32"/>
        </w:rPr>
        <w:t>内部管理规章制度健全，严格按照制度规定规范运营。农民合作社参照《农民专业合作社示范章程》或《农民专业合作社联合社示范章程》制定了符合实际的章程，成员（代表）大会、理事会、监事会等组织机构运行有效，有完善的财务管理、社务公开、议事决策等制度；每年至少召开1次成员大会，成员大会选举和表决依法落实一人一票制。家庭农场使用“一码通”赋码增信，在产品包装、主要生产经营场所等进行亮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rPr>
      </w:pPr>
      <w:r>
        <w:rPr>
          <w:rFonts w:hint="eastAsia" w:ascii="宋体" w:hAnsi="宋体" w:eastAsia="方正楷体简体" w:cs="方正楷体简体"/>
          <w:b w:val="0"/>
          <w:bCs w:val="0"/>
          <w:sz w:val="32"/>
          <w:szCs w:val="32"/>
        </w:rPr>
        <w:t>四是生产服务优质。</w:t>
      </w:r>
      <w:r>
        <w:rPr>
          <w:rFonts w:hint="eastAsia" w:ascii="宋体" w:hAnsi="宋体" w:eastAsia="方正仿宋简体" w:cs="方正仿宋简体"/>
          <w:sz w:val="32"/>
          <w:szCs w:val="32"/>
        </w:rPr>
        <w:t>开展标准化生产或服务，有农产品质量安全管理制度并执行落实，利用现代信息技术手段采集生产服务记录、购销记录等经营信息，农业生产或服务质量可追溯，依规实行食用农产品承诺达标合格证制度。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rPr>
      </w:pPr>
      <w:r>
        <w:rPr>
          <w:rFonts w:hint="eastAsia" w:ascii="宋体" w:hAnsi="宋体" w:eastAsia="方正楷体简体" w:cs="方正楷体简体"/>
          <w:b w:val="0"/>
          <w:bCs w:val="0"/>
          <w:sz w:val="32"/>
          <w:szCs w:val="32"/>
        </w:rPr>
        <w:t>五是联农带农紧密。</w:t>
      </w:r>
      <w:r>
        <w:rPr>
          <w:rFonts w:hint="eastAsia" w:ascii="宋体" w:hAnsi="宋体" w:eastAsia="方正仿宋简体" w:cs="方正仿宋简体"/>
          <w:sz w:val="32"/>
          <w:szCs w:val="32"/>
        </w:rPr>
        <w:t>农民合作社实有成员名册与成员账户的成员范围一致，实有成员数高于本地区平均水平；成员账户准确记录每个成员的出资额、公积金量化份额、与本社的交易量（额）和返还盈余等，可分配盈余按照成员与本社的交易量（额）比例返还的比例不低于60%。家庭农场通过雇工、提供社会化服务等方式带动小农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rPr>
      </w:pPr>
      <w:r>
        <w:rPr>
          <w:rFonts w:hint="eastAsia" w:ascii="宋体" w:hAnsi="宋体" w:eastAsia="方正楷体简体" w:cs="方正楷体简体"/>
          <w:b w:val="0"/>
          <w:bCs w:val="0"/>
          <w:sz w:val="32"/>
          <w:szCs w:val="32"/>
        </w:rPr>
        <w:t>六是社会声誉良好。</w:t>
      </w:r>
      <w:r>
        <w:rPr>
          <w:rFonts w:hint="eastAsia" w:ascii="宋体" w:hAnsi="宋体" w:eastAsia="方正仿宋简体" w:cs="方正仿宋简体"/>
          <w:sz w:val="32"/>
          <w:szCs w:val="32"/>
        </w:rPr>
        <w:t>遵纪守法，诚实守信。未发生过生产（质量）安全事故、生态破坏、环境污染、损害成员利益等严重事件，未受到行业通报批评等造成不良社会影响，无不良信用记录，未被列入经营异常名录、失信名单，未涉及非法金融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color w:val="auto"/>
          <w:sz w:val="32"/>
          <w:szCs w:val="32"/>
          <w:lang w:val="en-US" w:eastAsia="zh-CN"/>
        </w:rPr>
      </w:pPr>
      <w:r>
        <w:rPr>
          <w:rFonts w:hint="eastAsia" w:ascii="宋体" w:hAnsi="宋体" w:eastAsia="方正仿宋简体" w:cs="方正仿宋简体"/>
          <w:color w:val="auto"/>
          <w:sz w:val="32"/>
          <w:szCs w:val="32"/>
          <w:lang w:eastAsia="zh-CN"/>
        </w:rPr>
        <w:t>具体目标任务：一是支持标杆农民</w:t>
      </w:r>
      <w:r>
        <w:rPr>
          <w:rFonts w:hint="eastAsia" w:ascii="宋体" w:hAnsi="宋体" w:eastAsia="方正仿宋简体" w:cs="方正仿宋简体"/>
          <w:color w:val="auto"/>
          <w:sz w:val="32"/>
          <w:szCs w:val="32"/>
          <w:lang w:val="en-US" w:eastAsia="zh-CN"/>
        </w:rPr>
        <w:t>专业</w:t>
      </w:r>
      <w:r>
        <w:rPr>
          <w:rFonts w:hint="eastAsia" w:ascii="宋体" w:hAnsi="宋体" w:eastAsia="方正仿宋简体" w:cs="方正仿宋简体"/>
          <w:color w:val="auto"/>
          <w:sz w:val="32"/>
          <w:szCs w:val="32"/>
          <w:lang w:eastAsia="zh-CN"/>
        </w:rPr>
        <w:t>合作社数量</w:t>
      </w:r>
      <w:r>
        <w:rPr>
          <w:rFonts w:hint="eastAsia" w:ascii="宋体" w:hAnsi="宋体" w:eastAsia="方正仿宋简体" w:cs="方正仿宋简体"/>
          <w:color w:val="auto"/>
          <w:sz w:val="32"/>
          <w:szCs w:val="32"/>
          <w:lang w:val="en-US" w:eastAsia="zh-CN"/>
        </w:rPr>
        <w:t>3个；二是支持标杆家庭农场数量1个。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color w:val="auto"/>
          <w:sz w:val="32"/>
          <w:szCs w:val="32"/>
        </w:rPr>
      </w:pPr>
      <w:r>
        <w:rPr>
          <w:rFonts w:hint="eastAsia" w:ascii="宋体" w:hAnsi="宋体" w:eastAsia="黑体" w:cs="黑体"/>
          <w:color w:val="auto"/>
          <w:sz w:val="32"/>
          <w:szCs w:val="32"/>
        </w:rPr>
        <w:t>三、支持方式及标准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color w:val="auto"/>
          <w:sz w:val="32"/>
          <w:szCs w:val="32"/>
          <w:lang w:val="en-US" w:eastAsia="zh-CN"/>
        </w:rPr>
      </w:pPr>
      <w:r>
        <w:rPr>
          <w:rFonts w:hint="eastAsia" w:ascii="宋体" w:hAnsi="宋体" w:eastAsia="方正楷体简体" w:cs="方正楷体简体"/>
          <w:b w:val="0"/>
          <w:bCs w:val="0"/>
          <w:color w:val="auto"/>
          <w:sz w:val="32"/>
          <w:szCs w:val="32"/>
        </w:rPr>
        <w:t>（一）支持方式。</w:t>
      </w:r>
      <w:r>
        <w:rPr>
          <w:rFonts w:hint="eastAsia" w:ascii="宋体" w:hAnsi="宋体" w:eastAsia="方正仿宋简体" w:cs="方正仿宋简体"/>
          <w:color w:val="auto"/>
          <w:sz w:val="32"/>
          <w:szCs w:val="32"/>
        </w:rPr>
        <w:t>支持新型农业经营主体（</w:t>
      </w:r>
      <w:r>
        <w:rPr>
          <w:rFonts w:hint="eastAsia" w:ascii="宋体" w:hAnsi="宋体" w:eastAsia="方正仿宋简体" w:cs="方正仿宋简体"/>
          <w:color w:val="auto"/>
          <w:sz w:val="32"/>
          <w:szCs w:val="32"/>
          <w:lang w:eastAsia="zh-CN"/>
        </w:rPr>
        <w:t>标杆</w:t>
      </w:r>
      <w:r>
        <w:rPr>
          <w:rFonts w:hint="eastAsia" w:ascii="宋体" w:hAnsi="宋体" w:eastAsia="方正仿宋简体" w:cs="方正仿宋简体"/>
          <w:color w:val="auto"/>
          <w:sz w:val="32"/>
          <w:szCs w:val="32"/>
        </w:rPr>
        <w:t>农民合作社和</w:t>
      </w:r>
      <w:r>
        <w:rPr>
          <w:rFonts w:hint="eastAsia" w:ascii="宋体" w:hAnsi="宋体" w:eastAsia="方正仿宋简体" w:cs="方正仿宋简体"/>
          <w:color w:val="auto"/>
          <w:sz w:val="32"/>
          <w:szCs w:val="32"/>
          <w:lang w:eastAsia="zh-CN"/>
        </w:rPr>
        <w:t>标杆</w:t>
      </w:r>
      <w:r>
        <w:rPr>
          <w:rFonts w:hint="eastAsia" w:ascii="宋体" w:hAnsi="宋体" w:eastAsia="方正仿宋简体" w:cs="方正仿宋简体"/>
          <w:color w:val="auto"/>
          <w:sz w:val="32"/>
          <w:szCs w:val="32"/>
        </w:rPr>
        <w:t>家庭农场）的资金，主要采取“先建后补”奖补方式</w:t>
      </w:r>
      <w:r>
        <w:rPr>
          <w:rFonts w:hint="eastAsia" w:ascii="宋体" w:hAnsi="宋体" w:eastAsia="方正仿宋简体" w:cs="方正仿宋简体"/>
          <w:color w:val="auto"/>
          <w:sz w:val="32"/>
          <w:szCs w:val="32"/>
          <w:lang w:eastAsia="zh-CN"/>
        </w:rPr>
        <w:t>。</w:t>
      </w:r>
      <w:r>
        <w:rPr>
          <w:rFonts w:hint="eastAsia" w:ascii="宋体" w:hAnsi="宋体" w:eastAsia="方正仿宋简体" w:cs="方正仿宋简体"/>
          <w:color w:val="auto"/>
          <w:sz w:val="32"/>
          <w:szCs w:val="32"/>
          <w:lang w:val="en-US" w:eastAsia="zh-CN"/>
        </w:rPr>
        <w:t>支持符合条件的农民合作社和家庭农场夯实组织规范运行基础、提高粮油单产和生产经营等水平，提升联农带农服务能力。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color w:val="auto"/>
          <w:sz w:val="32"/>
          <w:szCs w:val="32"/>
          <w:lang w:eastAsia="zh-CN"/>
        </w:rPr>
      </w:pPr>
      <w:r>
        <w:rPr>
          <w:rFonts w:hint="eastAsia" w:ascii="宋体" w:hAnsi="宋体" w:eastAsia="方正楷体简体" w:cs="方正楷体简体"/>
          <w:b w:val="0"/>
          <w:bCs w:val="0"/>
          <w:color w:val="auto"/>
          <w:sz w:val="32"/>
          <w:szCs w:val="32"/>
        </w:rPr>
        <w:t>（二）支持标准。</w:t>
      </w:r>
      <w:r>
        <w:rPr>
          <w:rFonts w:hint="eastAsia" w:ascii="宋体" w:hAnsi="宋体" w:eastAsia="方正仿宋简体" w:cs="方正仿宋简体"/>
          <w:color w:val="auto"/>
          <w:sz w:val="32"/>
          <w:szCs w:val="32"/>
        </w:rPr>
        <w:t>本项目资金共</w:t>
      </w:r>
      <w:r>
        <w:rPr>
          <w:rFonts w:hint="eastAsia" w:ascii="宋体" w:hAnsi="宋体" w:eastAsia="方正仿宋简体" w:cs="方正仿宋简体"/>
          <w:color w:val="auto"/>
          <w:sz w:val="32"/>
          <w:szCs w:val="32"/>
          <w:lang w:val="en-US" w:eastAsia="zh-CN"/>
        </w:rPr>
        <w:t>3</w:t>
      </w:r>
      <w:r>
        <w:rPr>
          <w:rFonts w:hint="eastAsia" w:ascii="宋体" w:hAnsi="宋体" w:eastAsia="方正仿宋简体" w:cs="方正仿宋简体"/>
          <w:color w:val="auto"/>
          <w:sz w:val="32"/>
          <w:szCs w:val="32"/>
        </w:rPr>
        <w:t>5万元，用于支持标杆农民专业合作社资金</w:t>
      </w:r>
      <w:r>
        <w:rPr>
          <w:rFonts w:hint="eastAsia" w:ascii="宋体" w:hAnsi="宋体" w:eastAsia="方正仿宋简体" w:cs="方正仿宋简体"/>
          <w:color w:val="auto"/>
          <w:sz w:val="32"/>
          <w:szCs w:val="32"/>
          <w:lang w:val="en-US" w:eastAsia="zh-CN"/>
        </w:rPr>
        <w:t>30</w:t>
      </w:r>
      <w:r>
        <w:rPr>
          <w:rFonts w:hint="eastAsia" w:ascii="宋体" w:hAnsi="宋体" w:eastAsia="方正仿宋简体" w:cs="方正仿宋简体"/>
          <w:color w:val="auto"/>
          <w:sz w:val="32"/>
          <w:szCs w:val="32"/>
        </w:rPr>
        <w:t>万元，</w:t>
      </w:r>
      <w:r>
        <w:rPr>
          <w:rFonts w:hint="eastAsia" w:ascii="宋体" w:hAnsi="宋体" w:eastAsia="方正仿宋简体" w:cs="方正仿宋简体"/>
          <w:color w:val="auto"/>
          <w:sz w:val="32"/>
          <w:szCs w:val="32"/>
          <w:lang w:val="en-US" w:eastAsia="zh-CN"/>
        </w:rPr>
        <w:t>3</w:t>
      </w:r>
      <w:r>
        <w:rPr>
          <w:rFonts w:hint="eastAsia" w:ascii="宋体" w:hAnsi="宋体" w:eastAsia="方正仿宋简体" w:cs="方正仿宋简体"/>
          <w:color w:val="auto"/>
          <w:sz w:val="32"/>
          <w:szCs w:val="32"/>
        </w:rPr>
        <w:t>家标杆农民专业合作社各10万元，合计</w:t>
      </w:r>
      <w:r>
        <w:rPr>
          <w:rFonts w:hint="eastAsia" w:ascii="宋体" w:hAnsi="宋体" w:eastAsia="方正仿宋简体" w:cs="方正仿宋简体"/>
          <w:color w:val="auto"/>
          <w:sz w:val="32"/>
          <w:szCs w:val="32"/>
          <w:lang w:val="en-US" w:eastAsia="zh-CN"/>
        </w:rPr>
        <w:t>3</w:t>
      </w:r>
      <w:r>
        <w:rPr>
          <w:rFonts w:hint="eastAsia" w:ascii="宋体" w:hAnsi="宋体" w:eastAsia="方正仿宋简体" w:cs="方正仿宋简体"/>
          <w:color w:val="auto"/>
          <w:sz w:val="32"/>
          <w:szCs w:val="32"/>
        </w:rPr>
        <w:t>0万元；支持1家标杆家庭农场资金5万元，合计5万元。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eastAsia="zh-CN"/>
        </w:rPr>
      </w:pPr>
      <w:r>
        <w:rPr>
          <w:rFonts w:hint="eastAsia" w:ascii="宋体" w:hAnsi="宋体" w:eastAsia="方正楷体简体" w:cs="方正楷体简体"/>
          <w:b w:val="0"/>
          <w:bCs w:val="0"/>
          <w:sz w:val="32"/>
          <w:szCs w:val="32"/>
        </w:rPr>
        <w:t>（三）资金来源。</w:t>
      </w:r>
      <w:r>
        <w:rPr>
          <w:rFonts w:hint="eastAsia" w:ascii="宋体" w:hAnsi="宋体" w:eastAsia="方正仿宋简体" w:cs="方正仿宋简体"/>
          <w:sz w:val="32"/>
          <w:szCs w:val="32"/>
          <w:lang w:eastAsia="zh-CN"/>
        </w:rPr>
        <w:t>《广东省财政厅关于下达2025年中央农业经营主体能力提升资金的通知》（粤财农〔2025〕67号）、《紫金</w:t>
      </w:r>
      <w:r>
        <w:rPr>
          <w:rFonts w:hint="eastAsia" w:ascii="宋体" w:hAnsi="宋体" w:eastAsia="方正仿宋简体" w:cs="方正仿宋简体"/>
          <w:sz w:val="32"/>
          <w:szCs w:val="32"/>
        </w:rPr>
        <w:t>县财政局关于</w:t>
      </w:r>
      <w:r>
        <w:rPr>
          <w:rFonts w:hint="eastAsia" w:ascii="宋体" w:hAnsi="宋体" w:eastAsia="方正仿宋简体" w:cs="方正仿宋简体"/>
          <w:sz w:val="32"/>
          <w:szCs w:val="32"/>
          <w:lang w:eastAsia="zh-CN"/>
        </w:rPr>
        <w:t>下达</w:t>
      </w:r>
      <w:r>
        <w:rPr>
          <w:rFonts w:hint="eastAsia" w:ascii="宋体" w:hAnsi="宋体" w:eastAsia="方正仿宋简体" w:cs="方正仿宋简体"/>
          <w:sz w:val="32"/>
          <w:szCs w:val="32"/>
        </w:rPr>
        <w:t>2025年中央农业经营主体能力提升资金的通知</w:t>
      </w:r>
      <w:r>
        <w:rPr>
          <w:rFonts w:hint="eastAsia" w:ascii="宋体" w:hAnsi="宋体" w:eastAsia="方正仿宋简体" w:cs="方正仿宋简体"/>
          <w:sz w:val="32"/>
          <w:szCs w:val="32"/>
          <w:lang w:eastAsia="zh-CN"/>
        </w:rPr>
        <w:t>》（紫财农〔2025〕2</w:t>
      </w:r>
      <w:r>
        <w:rPr>
          <w:rFonts w:hint="eastAsia" w:ascii="宋体" w:hAnsi="宋体" w:eastAsia="方正仿宋简体" w:cs="方正仿宋简体"/>
          <w:sz w:val="32"/>
          <w:szCs w:val="32"/>
          <w:lang w:val="en-US" w:eastAsia="zh-CN"/>
        </w:rPr>
        <w:t>3</w:t>
      </w:r>
      <w:r>
        <w:rPr>
          <w:rFonts w:hint="eastAsia" w:ascii="宋体" w:hAnsi="宋体" w:eastAsia="方正仿宋简体" w:cs="方正仿宋简体"/>
          <w:sz w:val="32"/>
          <w:szCs w:val="32"/>
          <w:lang w:eastAsia="zh-CN"/>
        </w:rPr>
        <w:t>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黑体" w:cs="黑体"/>
          <w:sz w:val="32"/>
          <w:szCs w:val="32"/>
        </w:rPr>
      </w:pPr>
      <w:r>
        <w:rPr>
          <w:rFonts w:hint="eastAsia" w:ascii="宋体" w:hAnsi="宋体" w:eastAsia="黑体" w:cs="黑体"/>
          <w:sz w:val="32"/>
          <w:szCs w:val="32"/>
        </w:rPr>
        <w:t>四、项目实施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rPr>
      </w:pPr>
      <w:r>
        <w:rPr>
          <w:rFonts w:hint="eastAsia" w:ascii="宋体" w:hAnsi="宋体" w:eastAsia="方正楷体简体" w:cs="方正楷体简体"/>
          <w:b w:val="0"/>
          <w:bCs w:val="0"/>
          <w:sz w:val="32"/>
          <w:szCs w:val="32"/>
        </w:rPr>
        <w:t>（一）实施主体。</w:t>
      </w:r>
      <w:r>
        <w:rPr>
          <w:rFonts w:hint="eastAsia" w:ascii="宋体" w:hAnsi="宋体" w:eastAsia="方正仿宋简体" w:cs="方正仿宋简体"/>
          <w:sz w:val="32"/>
          <w:szCs w:val="32"/>
          <w:lang w:eastAsia="zh-CN"/>
        </w:rPr>
        <w:t>紫金</w:t>
      </w:r>
      <w:r>
        <w:rPr>
          <w:rFonts w:hint="eastAsia" w:ascii="宋体" w:hAnsi="宋体" w:eastAsia="方正仿宋简体" w:cs="方正仿宋简体"/>
          <w:sz w:val="32"/>
          <w:szCs w:val="32"/>
        </w:rPr>
        <w:t>县结合主导产业、优势产业和特色产业布局，按照扶持方向，由纳入省标杆农民合作社和标杆家庭农场入围名单的农民合作社和家庭农场进行申报</w:t>
      </w:r>
      <w:r>
        <w:rPr>
          <w:rFonts w:hint="eastAsia" w:ascii="宋体" w:hAnsi="宋体" w:eastAsia="方正仿宋简体" w:cs="方正仿宋简体"/>
          <w:sz w:val="32"/>
          <w:szCs w:val="32"/>
          <w:lang w:eastAsia="zh-CN"/>
        </w:rPr>
        <w:t>、镇级推介</w:t>
      </w:r>
      <w:r>
        <w:rPr>
          <w:rFonts w:hint="eastAsia" w:ascii="宋体" w:hAnsi="宋体" w:eastAsia="方正仿宋简体" w:cs="方正仿宋简体"/>
          <w:sz w:val="32"/>
          <w:szCs w:val="32"/>
        </w:rPr>
        <w:t>，按照公开、公平、公正原则，通过专家评审</w:t>
      </w:r>
      <w:r>
        <w:rPr>
          <w:rFonts w:hint="eastAsia" w:ascii="宋体" w:hAnsi="宋体" w:eastAsia="方正仿宋简体" w:cs="方正仿宋简体"/>
          <w:sz w:val="32"/>
          <w:szCs w:val="32"/>
          <w:lang w:eastAsia="zh-CN"/>
        </w:rPr>
        <w:t>和</w:t>
      </w:r>
      <w:r>
        <w:rPr>
          <w:rFonts w:hint="eastAsia" w:ascii="宋体" w:hAnsi="宋体" w:eastAsia="方正仿宋简体" w:cs="方正仿宋简体"/>
          <w:sz w:val="32"/>
          <w:szCs w:val="32"/>
        </w:rPr>
        <w:t>集体研究等方式确定项目实施主体。</w:t>
      </w:r>
      <w:r>
        <w:rPr>
          <w:rFonts w:hint="eastAsia" w:ascii="宋体" w:hAnsi="宋体" w:eastAsia="方正仿宋简体" w:cs="方正仿宋简体"/>
          <w:sz w:val="32"/>
          <w:szCs w:val="32"/>
          <w:lang w:val="en-US" w:eastAsia="zh-CN"/>
        </w:rPr>
        <w:t>2年内获得培育新型经营主体和构建新型乡村助农服务体系资金的新型主体原则上不再重复扶持</w:t>
      </w:r>
      <w:r>
        <w:rPr>
          <w:rFonts w:hint="eastAsia" w:ascii="宋体" w:hAnsi="宋体" w:eastAsia="方正仿宋简体" w:cs="方正仿宋简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rPr>
      </w:pPr>
      <w:r>
        <w:rPr>
          <w:rFonts w:hint="eastAsia" w:ascii="宋体" w:hAnsi="宋体" w:eastAsia="方正楷体简体" w:cs="方正楷体简体"/>
          <w:b w:val="0"/>
          <w:bCs w:val="0"/>
          <w:sz w:val="32"/>
          <w:szCs w:val="32"/>
        </w:rPr>
        <w:t>（二）实施时间。</w:t>
      </w:r>
      <w:r>
        <w:rPr>
          <w:rFonts w:hint="eastAsia" w:ascii="宋体" w:hAnsi="宋体" w:eastAsia="方正仿宋简体" w:cs="方正仿宋简体"/>
          <w:sz w:val="32"/>
          <w:szCs w:val="32"/>
        </w:rPr>
        <w:t>202</w:t>
      </w:r>
      <w:r>
        <w:rPr>
          <w:rFonts w:hint="eastAsia" w:ascii="宋体" w:hAnsi="宋体" w:eastAsia="方正仿宋简体" w:cs="方正仿宋简体"/>
          <w:sz w:val="32"/>
          <w:szCs w:val="32"/>
          <w:lang w:val="en-US" w:eastAsia="zh-CN"/>
        </w:rPr>
        <w:t>6</w:t>
      </w:r>
      <w:r>
        <w:rPr>
          <w:rFonts w:hint="eastAsia" w:ascii="宋体" w:hAnsi="宋体" w:eastAsia="方正仿宋简体" w:cs="方正仿宋简体"/>
          <w:sz w:val="32"/>
          <w:szCs w:val="32"/>
        </w:rPr>
        <w:t>年</w:t>
      </w:r>
      <w:r>
        <w:rPr>
          <w:rFonts w:hint="eastAsia" w:ascii="宋体" w:hAnsi="宋体" w:eastAsia="方正仿宋简体" w:cs="方正仿宋简体"/>
          <w:sz w:val="32"/>
          <w:szCs w:val="32"/>
          <w:lang w:val="en-US" w:eastAsia="zh-CN"/>
        </w:rPr>
        <w:t>8</w:t>
      </w:r>
      <w:r>
        <w:rPr>
          <w:rFonts w:hint="eastAsia" w:ascii="宋体" w:hAnsi="宋体" w:eastAsia="方正仿宋简体" w:cs="方正仿宋简体"/>
          <w:sz w:val="32"/>
          <w:szCs w:val="32"/>
        </w:rPr>
        <w:t>月</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20</w:t>
      </w:r>
      <w:r>
        <w:rPr>
          <w:rFonts w:hint="eastAsia" w:ascii="宋体" w:hAnsi="宋体" w:eastAsia="方正仿宋简体" w:cs="方正仿宋简体"/>
          <w:sz w:val="32"/>
          <w:szCs w:val="32"/>
          <w:lang w:val="en-US" w:eastAsia="zh-CN"/>
        </w:rPr>
        <w:t>27</w:t>
      </w:r>
      <w:r>
        <w:rPr>
          <w:rFonts w:hint="eastAsia" w:ascii="宋体" w:hAnsi="宋体" w:eastAsia="方正仿宋简体" w:cs="方正仿宋简体"/>
          <w:sz w:val="32"/>
          <w:szCs w:val="32"/>
        </w:rPr>
        <w:t>年</w:t>
      </w:r>
      <w:r>
        <w:rPr>
          <w:rFonts w:hint="eastAsia" w:ascii="宋体" w:hAnsi="宋体" w:eastAsia="方正仿宋简体" w:cs="方正仿宋简体"/>
          <w:sz w:val="32"/>
          <w:szCs w:val="32"/>
          <w:lang w:val="en-US" w:eastAsia="zh-CN"/>
        </w:rPr>
        <w:t>4</w:t>
      </w:r>
      <w:r>
        <w:rPr>
          <w:rFonts w:hint="eastAsia" w:ascii="宋体" w:hAnsi="宋体" w:eastAsia="方正仿宋简体" w:cs="方正仿宋简体"/>
          <w:sz w:val="32"/>
          <w:szCs w:val="32"/>
        </w:rPr>
        <w:t>月（因不可抗力等原因可适当调整项目实施时间）。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rPr>
      </w:pPr>
      <w:r>
        <w:rPr>
          <w:rFonts w:hint="eastAsia" w:ascii="宋体" w:hAnsi="宋体" w:eastAsia="方正楷体简体" w:cs="方正楷体简体"/>
          <w:b w:val="0"/>
          <w:bCs w:val="0"/>
          <w:sz w:val="32"/>
          <w:szCs w:val="32"/>
        </w:rPr>
        <w:t>（三）项目验收。</w:t>
      </w:r>
      <w:r>
        <w:rPr>
          <w:rFonts w:hint="eastAsia" w:ascii="宋体" w:hAnsi="宋体" w:eastAsia="方正仿宋简体" w:cs="方正仿宋简体"/>
          <w:sz w:val="32"/>
          <w:szCs w:val="32"/>
        </w:rPr>
        <w:t>项目实施主体完成项目实施后，结合有资质的验收机构进行项目自验，并</w:t>
      </w:r>
      <w:r>
        <w:rPr>
          <w:rFonts w:hint="eastAsia" w:ascii="宋体" w:hAnsi="宋体" w:eastAsia="方正仿宋简体" w:cs="方正仿宋简体"/>
          <w:sz w:val="32"/>
          <w:szCs w:val="32"/>
          <w:lang w:eastAsia="zh-CN"/>
        </w:rPr>
        <w:t>由其出</w:t>
      </w:r>
      <w:r>
        <w:rPr>
          <w:rFonts w:hint="eastAsia" w:ascii="宋体" w:hAnsi="宋体" w:eastAsia="方正仿宋简体" w:cs="方正仿宋简体"/>
          <w:sz w:val="32"/>
          <w:szCs w:val="32"/>
        </w:rPr>
        <w:t>具验收报告。县农业农村局根据主体提交的验收申请，再对项目进行复验。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黑体" w:cs="黑体"/>
          <w:sz w:val="32"/>
          <w:szCs w:val="32"/>
        </w:rPr>
      </w:pPr>
      <w:r>
        <w:rPr>
          <w:rFonts w:hint="eastAsia" w:ascii="宋体" w:hAnsi="宋体" w:eastAsia="黑体" w:cs="黑体"/>
          <w:sz w:val="32"/>
          <w:szCs w:val="32"/>
        </w:rPr>
        <w:t>五、实施要求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rPr>
      </w:pPr>
      <w:r>
        <w:rPr>
          <w:rFonts w:hint="eastAsia" w:ascii="宋体" w:hAnsi="宋体" w:eastAsia="方正楷体简体" w:cs="方正楷体简体"/>
          <w:b w:val="0"/>
          <w:bCs w:val="0"/>
          <w:sz w:val="32"/>
          <w:szCs w:val="32"/>
        </w:rPr>
        <w:t>（一）强化组织领导。</w:t>
      </w:r>
      <w:r>
        <w:rPr>
          <w:rFonts w:hint="eastAsia" w:ascii="宋体" w:hAnsi="宋体" w:eastAsia="方正仿宋简体" w:cs="方正仿宋简体"/>
          <w:sz w:val="32"/>
          <w:szCs w:val="32"/>
        </w:rPr>
        <w:t>县农业农村局成立新型农业经营主体培育项目专项工作领导小组，组长由局主要领导担任，副组长由分管政改股的负责同志担任，成员由政改股所有成员组成。加强对项目的统筹实施和监督管理，严格按照国家有关规定和项目实施方案内容使用资金，及时掌握项目进展和资金使用情况，确保项目顺利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rPr>
      </w:pPr>
      <w:r>
        <w:rPr>
          <w:rFonts w:hint="eastAsia" w:ascii="宋体" w:hAnsi="宋体" w:eastAsia="方正楷体简体" w:cs="方正楷体简体"/>
          <w:b w:val="0"/>
          <w:bCs w:val="0"/>
          <w:sz w:val="32"/>
          <w:szCs w:val="32"/>
        </w:rPr>
        <w:t>（二）加快项目实施。</w:t>
      </w:r>
      <w:r>
        <w:rPr>
          <w:rFonts w:hint="eastAsia" w:ascii="宋体" w:hAnsi="宋体" w:eastAsia="方正仿宋简体" w:cs="方正仿宋简体"/>
          <w:sz w:val="32"/>
          <w:szCs w:val="32"/>
        </w:rPr>
        <w:t>按照省、市下达的任务清单要求，</w:t>
      </w:r>
      <w:r>
        <w:rPr>
          <w:rFonts w:hint="eastAsia" w:ascii="宋体" w:hAnsi="宋体" w:eastAsia="方正仿宋简体" w:cs="方正仿宋简体"/>
          <w:sz w:val="32"/>
          <w:szCs w:val="32"/>
          <w:lang w:eastAsia="zh-CN"/>
        </w:rPr>
        <w:t>督促指导好各实施主体的项目建设</w:t>
      </w:r>
      <w:r>
        <w:rPr>
          <w:rFonts w:hint="eastAsia" w:ascii="宋体" w:hAnsi="宋体" w:eastAsia="方正仿宋简体" w:cs="方正仿宋简体"/>
          <w:sz w:val="32"/>
          <w:szCs w:val="32"/>
        </w:rPr>
        <w:t>，把资金落实到具体项目，做好项目组织实施工作。</w:t>
      </w:r>
    </w:p>
    <w:p>
      <w:pPr>
        <w:pStyle w:val="9"/>
        <w:keepNext/>
        <w:keepLines/>
        <w:pageBreakBefore w:val="0"/>
        <w:widowControl w:val="0"/>
        <w:kinsoku/>
        <w:wordWrap/>
        <w:overflowPunct/>
        <w:topLinePunct w:val="0"/>
        <w:autoSpaceDE/>
        <w:autoSpaceDN/>
        <w:bidi w:val="0"/>
        <w:adjustRightInd/>
        <w:snapToGrid/>
        <w:spacing w:line="600" w:lineRule="exact"/>
        <w:ind w:firstLine="640" w:firstLineChars="200"/>
        <w:textAlignment w:val="baseline"/>
        <w:rPr>
          <w:rFonts w:hint="eastAsia" w:ascii="宋体" w:hAnsi="宋体" w:eastAsia="方正仿宋简体" w:cs="方正仿宋简体"/>
          <w:sz w:val="32"/>
          <w:szCs w:val="32"/>
          <w:lang w:val="en-US" w:eastAsia="zh-CN"/>
        </w:rPr>
      </w:pPr>
      <w:r>
        <w:rPr>
          <w:rFonts w:hint="eastAsia" w:ascii="宋体" w:hAnsi="宋体" w:eastAsia="方正楷体简体" w:cs="方正楷体简体"/>
          <w:b w:val="0"/>
          <w:bCs w:val="0"/>
          <w:sz w:val="32"/>
          <w:szCs w:val="32"/>
        </w:rPr>
        <w:t>（三）加强资</w:t>
      </w:r>
      <w:r>
        <w:rPr>
          <w:rFonts w:hint="eastAsia" w:ascii="宋体" w:hAnsi="宋体" w:eastAsia="方正楷体简体" w:cs="方正楷体简体"/>
          <w:b w:val="0"/>
          <w:bCs w:val="0"/>
          <w:sz w:val="32"/>
          <w:szCs w:val="32"/>
          <w:lang w:eastAsia="zh-CN"/>
        </w:rPr>
        <w:t>金</w:t>
      </w:r>
      <w:r>
        <w:rPr>
          <w:rFonts w:hint="eastAsia" w:ascii="宋体" w:hAnsi="宋体" w:eastAsia="方正楷体简体" w:cs="方正楷体简体"/>
          <w:b w:val="0"/>
          <w:bCs w:val="0"/>
          <w:sz w:val="32"/>
          <w:szCs w:val="32"/>
        </w:rPr>
        <w:t>监管。</w:t>
      </w:r>
      <w:r>
        <w:rPr>
          <w:rFonts w:hint="eastAsia" w:ascii="宋体" w:hAnsi="宋体" w:eastAsia="方正仿宋简体" w:cs="方正仿宋简体"/>
          <w:sz w:val="32"/>
          <w:szCs w:val="32"/>
        </w:rPr>
        <w:t>为确保项目规范实施，此项资金严格按照《财政部农业农村部关于印发农业相关转移支付资金管理办法的通知》（财农〔2023〕11号）及《农业经营主体能力提升资金管理办法》使用管理有关规定使用。切实管好用好农业经营主体能力提升资金，加强资金监管，不得挤占、截留或挪用，确保专款专用。</w:t>
      </w:r>
      <w:r>
        <w:rPr>
          <w:rFonts w:hint="eastAsia" w:ascii="宋体" w:hAnsi="宋体" w:eastAsia="方正仿宋简体" w:cs="方正仿宋简体"/>
          <w:sz w:val="32"/>
          <w:szCs w:val="32"/>
          <w:lang w:val="en-US" w:eastAsia="zh-CN"/>
        </w:rPr>
        <w:t>不受理以中介机构名义直接代理申报的资金项目，奖补资金不得用于购买在农机购置与应用补贴范围内的农业机械，不得用于支付中介费用、兴建楼堂馆所、弥补预算支出缺口等与农业经营主体能力提升无关的支出。原则上同一项目不对同一经营主体进行重复奖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黑体" w:cs="黑体"/>
          <w:sz w:val="32"/>
          <w:szCs w:val="32"/>
          <w:lang w:eastAsia="zh-CN"/>
        </w:rPr>
      </w:pPr>
      <w:r>
        <w:rPr>
          <w:rFonts w:hint="eastAsia" w:ascii="宋体" w:hAnsi="宋体" w:eastAsia="黑体" w:cs="黑体"/>
          <w:sz w:val="32"/>
          <w:szCs w:val="32"/>
          <w:lang w:val="en-US" w:eastAsia="zh-CN"/>
        </w:rPr>
        <w:t>六</w:t>
      </w:r>
      <w:r>
        <w:rPr>
          <w:rFonts w:hint="eastAsia" w:ascii="宋体" w:hAnsi="宋体" w:eastAsia="黑体" w:cs="黑体"/>
          <w:sz w:val="32"/>
          <w:szCs w:val="32"/>
          <w:lang w:eastAsia="zh-CN"/>
        </w:rPr>
        <w:t>、申报时间和材料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i w:val="0"/>
          <w:iCs w:val="0"/>
          <w:caps w:val="0"/>
          <w:color w:val="auto"/>
          <w:spacing w:val="0"/>
          <w:sz w:val="32"/>
          <w:szCs w:val="32"/>
          <w:shd w:val="clear" w:fill="FFFFFF"/>
          <w:lang w:val="en-US" w:eastAsia="zh-CN"/>
        </w:rPr>
      </w:pPr>
      <w:r>
        <w:rPr>
          <w:rFonts w:hint="eastAsia" w:ascii="宋体" w:hAnsi="宋体" w:eastAsia="方正仿宋简体" w:cs="方正仿宋简体"/>
          <w:sz w:val="32"/>
          <w:szCs w:val="32"/>
          <w:lang w:val="en-US" w:eastAsia="zh-CN"/>
        </w:rPr>
        <w:t>申报时间2026年7月15</w:t>
      </w:r>
      <w:bookmarkStart w:id="0" w:name="_GoBack"/>
      <w:bookmarkEnd w:id="0"/>
      <w:r>
        <w:rPr>
          <w:rFonts w:hint="eastAsia" w:ascii="宋体" w:hAnsi="宋体" w:eastAsia="方正仿宋简体" w:cs="方正仿宋简体"/>
          <w:sz w:val="32"/>
          <w:szCs w:val="32"/>
          <w:lang w:val="en-US" w:eastAsia="zh-CN"/>
        </w:rPr>
        <w:t>日前，项目申报单位需提供项目申报书、实施方案、项目实施地点租赁合同、不同参照物的现场图（5张以上）、企业资质证明资料及其他必要附件。上述材料按顺序统一装订成册一式5份。</w:t>
      </w:r>
    </w:p>
    <w:p>
      <w:pPr>
        <w:pStyle w:val="2"/>
        <w:keepNext/>
        <w:keepLines/>
        <w:pageBreakBefore w:val="0"/>
        <w:widowControl w:val="0"/>
        <w:kinsoku/>
        <w:wordWrap/>
        <w:overflowPunct/>
        <w:topLinePunct w:val="0"/>
        <w:autoSpaceDE/>
        <w:autoSpaceDN/>
        <w:bidi w:val="0"/>
        <w:adjustRightInd/>
        <w:snapToGrid/>
        <w:spacing w:before="0" w:after="0" w:line="520" w:lineRule="exact"/>
        <w:ind w:left="640" w:leftChars="0" w:hanging="640" w:hangingChars="200"/>
        <w:textAlignment w:val="auto"/>
        <w:rPr>
          <w:rFonts w:hint="eastAsia" w:ascii="方正仿宋_GBK" w:hAnsi="方正仿宋_GBK" w:eastAsia="方正仿宋_GBK" w:cs="方正仿宋_GBK"/>
          <w:b w:val="0"/>
          <w:bCs w:val="0"/>
          <w:i w:val="0"/>
          <w:iCs w:val="0"/>
          <w:caps w:val="0"/>
          <w:color w:val="auto"/>
          <w:spacing w:val="0"/>
          <w:sz w:val="32"/>
          <w:szCs w:val="32"/>
          <w:shd w:val="clear" w:fill="FFFFFF"/>
          <w:lang w:val="en-US" w:eastAsia="zh-CN"/>
        </w:rPr>
      </w:pPr>
    </w:p>
    <w:p>
      <w:pPr>
        <w:pStyle w:val="2"/>
        <w:keepNext/>
        <w:keepLines/>
        <w:pageBreakBefore w:val="0"/>
        <w:widowControl w:val="0"/>
        <w:kinsoku/>
        <w:wordWrap/>
        <w:overflowPunct/>
        <w:topLinePunct w:val="0"/>
        <w:autoSpaceDE/>
        <w:autoSpaceDN/>
        <w:bidi w:val="0"/>
        <w:adjustRightInd/>
        <w:snapToGrid/>
        <w:spacing w:before="0" w:after="0" w:line="600" w:lineRule="exact"/>
        <w:ind w:left="958" w:leftChars="304" w:hanging="320" w:hangingChars="100"/>
        <w:textAlignment w:val="auto"/>
        <w:rPr>
          <w:rFonts w:hint="eastAsia"/>
          <w:lang w:val="en-US" w:eastAsia="zh-CN"/>
        </w:rPr>
      </w:pPr>
      <w:r>
        <w:rPr>
          <w:rFonts w:hint="eastAsia" w:ascii="方正仿宋_GBK" w:hAnsi="方正仿宋_GBK" w:eastAsia="方正仿宋_GBK" w:cs="方正仿宋_GBK"/>
          <w:b w:val="0"/>
          <w:bCs w:val="0"/>
          <w:i w:val="0"/>
          <w:iCs w:val="0"/>
          <w:caps w:val="0"/>
          <w:color w:val="auto"/>
          <w:spacing w:val="0"/>
          <w:sz w:val="32"/>
          <w:szCs w:val="32"/>
          <w:shd w:val="clear" w:fill="FFFFFF"/>
          <w:lang w:val="en-US" w:eastAsia="zh-CN"/>
        </w:rPr>
        <w:t>附：</w:t>
      </w:r>
      <w:r>
        <w:rPr>
          <w:rFonts w:hint="eastAsia" w:ascii="方正仿宋_GBK" w:hAnsi="方正仿宋_GBK" w:eastAsia="方正仿宋_GBK" w:cs="方正仿宋_GBK"/>
          <w:b w:val="0"/>
          <w:bCs w:val="0"/>
          <w:i w:val="0"/>
          <w:iCs w:val="0"/>
          <w:caps w:val="0"/>
          <w:color w:val="auto"/>
          <w:spacing w:val="0"/>
          <w:sz w:val="32"/>
          <w:szCs w:val="32"/>
          <w:shd w:val="clear" w:fill="FFFFFF"/>
          <w:lang w:eastAsia="zh-CN"/>
        </w:rPr>
        <w:t>紫金</w:t>
      </w:r>
      <w:r>
        <w:rPr>
          <w:rFonts w:hint="eastAsia" w:ascii="方正仿宋_GBK" w:hAnsi="方正仿宋_GBK" w:eastAsia="方正仿宋_GBK" w:cs="方正仿宋_GBK"/>
          <w:b w:val="0"/>
          <w:bCs w:val="0"/>
          <w:i w:val="0"/>
          <w:iCs w:val="0"/>
          <w:caps w:val="0"/>
          <w:color w:val="auto"/>
          <w:spacing w:val="0"/>
          <w:sz w:val="32"/>
          <w:szCs w:val="32"/>
          <w:shd w:val="clear" w:fill="FFFFFF"/>
        </w:rPr>
        <w:t>县2025年中央农业经营主体能力提升资金</w:t>
      </w:r>
      <w:r>
        <w:rPr>
          <w:rFonts w:hint="eastAsia" w:ascii="方正仿宋_GBK" w:hAnsi="方正仿宋_GBK" w:eastAsia="方正仿宋_GBK" w:cs="方正仿宋_GBK"/>
          <w:b w:val="0"/>
          <w:bCs w:val="0"/>
          <w:i w:val="0"/>
          <w:iCs w:val="0"/>
          <w:caps w:val="0"/>
          <w:color w:val="auto"/>
          <w:spacing w:val="0"/>
          <w:sz w:val="32"/>
          <w:szCs w:val="32"/>
          <w:shd w:val="clear" w:fill="FFFFFF"/>
          <w:lang w:eastAsia="zh-CN"/>
        </w:rPr>
        <w:t>——</w:t>
      </w:r>
      <w:r>
        <w:rPr>
          <w:rFonts w:hint="eastAsia" w:ascii="方正仿宋_GBK" w:hAnsi="方正仿宋_GBK" w:eastAsia="方正仿宋_GBK" w:cs="方正仿宋_GBK"/>
          <w:b w:val="0"/>
          <w:bCs w:val="0"/>
          <w:i w:val="0"/>
          <w:iCs w:val="0"/>
          <w:caps w:val="0"/>
          <w:color w:val="auto"/>
          <w:spacing w:val="0"/>
          <w:sz w:val="32"/>
          <w:szCs w:val="32"/>
          <w:shd w:val="clear" w:fill="FFFFFF"/>
        </w:rPr>
        <w:t>新型</w:t>
      </w:r>
      <w:r>
        <w:rPr>
          <w:rFonts w:hint="eastAsia" w:ascii="方正仿宋_GBK" w:hAnsi="方正仿宋_GBK" w:eastAsia="方正仿宋_GBK" w:cs="方正仿宋_GBK"/>
          <w:b w:val="0"/>
          <w:bCs w:val="0"/>
          <w:i w:val="0"/>
          <w:iCs w:val="0"/>
          <w:caps w:val="0"/>
          <w:color w:val="auto"/>
          <w:spacing w:val="0"/>
          <w:sz w:val="32"/>
          <w:szCs w:val="32"/>
          <w:shd w:val="clear" w:fill="FFFFFF"/>
          <w:lang w:val="en-US" w:eastAsia="zh-CN"/>
        </w:rPr>
        <w:t>农业</w:t>
      </w:r>
      <w:r>
        <w:rPr>
          <w:rFonts w:hint="eastAsia" w:ascii="方正仿宋_GBK" w:hAnsi="方正仿宋_GBK" w:eastAsia="方正仿宋_GBK" w:cs="方正仿宋_GBK"/>
          <w:b w:val="0"/>
          <w:bCs w:val="0"/>
          <w:i w:val="0"/>
          <w:iCs w:val="0"/>
          <w:caps w:val="0"/>
          <w:color w:val="auto"/>
          <w:spacing w:val="0"/>
          <w:sz w:val="32"/>
          <w:szCs w:val="32"/>
          <w:shd w:val="clear" w:fill="FFFFFF"/>
        </w:rPr>
        <w:t>经营主体培育项目申报书</w:t>
      </w:r>
      <w:r>
        <w:rPr>
          <w:rFonts w:hint="eastAsia" w:ascii="方正仿宋_GBK" w:hAnsi="方正仿宋_GBK" w:eastAsia="方正仿宋_GBK" w:cs="方正仿宋_GBK"/>
          <w:b w:val="0"/>
          <w:bCs w:val="0"/>
          <w:i w:val="0"/>
          <w:iCs w:val="0"/>
          <w:caps w:val="0"/>
          <w:color w:val="auto"/>
          <w:spacing w:val="0"/>
          <w:sz w:val="32"/>
          <w:szCs w:val="32"/>
          <w:shd w:val="clear" w:fill="FFFFFF"/>
          <w:lang w:eastAsia="zh-CN"/>
        </w:rPr>
        <w:t>（</w:t>
      </w:r>
      <w:r>
        <w:rPr>
          <w:rFonts w:hint="eastAsia" w:ascii="方正仿宋_GBK" w:hAnsi="方正仿宋_GBK" w:eastAsia="方正仿宋_GBK" w:cs="方正仿宋_GBK"/>
          <w:b w:val="0"/>
          <w:bCs w:val="0"/>
          <w:i w:val="0"/>
          <w:iCs w:val="0"/>
          <w:caps w:val="0"/>
          <w:color w:val="auto"/>
          <w:spacing w:val="0"/>
          <w:sz w:val="32"/>
          <w:szCs w:val="32"/>
          <w:shd w:val="clear" w:fill="FFFFFF"/>
          <w:lang w:val="en-US" w:eastAsia="zh-CN"/>
        </w:rPr>
        <w:t>模板</w:t>
      </w:r>
      <w:r>
        <w:rPr>
          <w:rFonts w:hint="eastAsia" w:ascii="方正仿宋_GBK" w:hAnsi="方正仿宋_GBK" w:eastAsia="方正仿宋_GBK" w:cs="方正仿宋_GBK"/>
          <w:b w:val="0"/>
          <w:bCs w:val="0"/>
          <w:i w:val="0"/>
          <w:iCs w:val="0"/>
          <w:caps w:val="0"/>
          <w:color w:val="auto"/>
          <w:spacing w:val="0"/>
          <w:sz w:val="32"/>
          <w:szCs w:val="32"/>
          <w:shd w:val="clear" w:fill="FFFFFF"/>
          <w:lang w:eastAsia="zh-CN"/>
        </w:rPr>
        <w:t>）</w:t>
      </w:r>
    </w:p>
    <w:sectPr>
      <w:footerReference r:id="rId3" w:type="default"/>
      <w:pgSz w:w="11906" w:h="16838"/>
      <w:pgMar w:top="2041" w:right="1474" w:bottom="1474" w:left="1474" w:header="850" w:footer="96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-86360</wp:posOffset>
              </wp:positionV>
              <wp:extent cx="929005" cy="2324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29005" cy="2324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6.8pt;height:18.3pt;width:73.15pt;mso-position-horizontal:outside;mso-position-horizontal-relative:margin;z-index:251659264;mso-width-relative:page;mso-height-relative:page;" filled="f" stroked="f" coordsize="21600,21600" o:gfxdata="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R/3Rv1QAAAAcBAAAPAAAAAAAAAAEAIAAAACIAAABkcnMvZG93bnJldi54&#10;bWxQSwECFAAUAAAACACHTuJAalVdqDYCAABhBAAADgAAAAAAAAABACAAAAAkAQAAZHJzL2Uyb0Rv&#10;Yy54bWxQSwUGAAAAAAYABgBZAQAAzAUAAAAA&#10;">
              <v:fill on="f" focussize="0,0"/>
              <v:stroke on="f" weight="0.5pt"/>
              <v:imagedata o:title=""/>
              <o:lock v:ext="edit" aspectratio="f"/>
              <v:textbox inset="0mm,0mm,0mm,0mm">
                <w:txbxContent>
                  <w:p>
                    <w:pPr>
                      <w:pStyle w:val="3"/>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72CA9"/>
    <w:rsid w:val="01877B89"/>
    <w:rsid w:val="034723DA"/>
    <w:rsid w:val="039B5B6E"/>
    <w:rsid w:val="047168CE"/>
    <w:rsid w:val="047D2C92"/>
    <w:rsid w:val="04A40422"/>
    <w:rsid w:val="04A900FE"/>
    <w:rsid w:val="052971A9"/>
    <w:rsid w:val="05391C88"/>
    <w:rsid w:val="07DE071F"/>
    <w:rsid w:val="08B02CB4"/>
    <w:rsid w:val="09383E5F"/>
    <w:rsid w:val="094D16B8"/>
    <w:rsid w:val="0A402FCB"/>
    <w:rsid w:val="0DCA0373"/>
    <w:rsid w:val="0EB14497"/>
    <w:rsid w:val="0EDF0C5B"/>
    <w:rsid w:val="0F6752A9"/>
    <w:rsid w:val="11CC29DC"/>
    <w:rsid w:val="120945EA"/>
    <w:rsid w:val="121D3BF2"/>
    <w:rsid w:val="12D76496"/>
    <w:rsid w:val="137B1C78"/>
    <w:rsid w:val="13F56BD4"/>
    <w:rsid w:val="158C5316"/>
    <w:rsid w:val="169D62DE"/>
    <w:rsid w:val="180C6BE2"/>
    <w:rsid w:val="18371EB1"/>
    <w:rsid w:val="1AC31CB7"/>
    <w:rsid w:val="1B60171F"/>
    <w:rsid w:val="1C8054A9"/>
    <w:rsid w:val="1D975242"/>
    <w:rsid w:val="1E894AE9"/>
    <w:rsid w:val="1EF95E82"/>
    <w:rsid w:val="1F833C2E"/>
    <w:rsid w:val="1FB81E2D"/>
    <w:rsid w:val="207F2647"/>
    <w:rsid w:val="22266AF2"/>
    <w:rsid w:val="223B07F0"/>
    <w:rsid w:val="22A82218"/>
    <w:rsid w:val="22D4654E"/>
    <w:rsid w:val="22E9024C"/>
    <w:rsid w:val="2369138D"/>
    <w:rsid w:val="23C2284B"/>
    <w:rsid w:val="248C1C53"/>
    <w:rsid w:val="28577A06"/>
    <w:rsid w:val="286257AA"/>
    <w:rsid w:val="28F33BD2"/>
    <w:rsid w:val="29E75EE8"/>
    <w:rsid w:val="2A0B4F4C"/>
    <w:rsid w:val="2A2B114A"/>
    <w:rsid w:val="2AD52E64"/>
    <w:rsid w:val="2BA94A1C"/>
    <w:rsid w:val="2C2E54B6"/>
    <w:rsid w:val="2CA70915"/>
    <w:rsid w:val="2D306A77"/>
    <w:rsid w:val="2D355E3C"/>
    <w:rsid w:val="2ECE2860"/>
    <w:rsid w:val="2FC109F2"/>
    <w:rsid w:val="2FED29FE"/>
    <w:rsid w:val="31E56082"/>
    <w:rsid w:val="32182B73"/>
    <w:rsid w:val="326974FD"/>
    <w:rsid w:val="334D4C4B"/>
    <w:rsid w:val="33B91574"/>
    <w:rsid w:val="3458152F"/>
    <w:rsid w:val="351B1DBB"/>
    <w:rsid w:val="35E961EA"/>
    <w:rsid w:val="37842BD6"/>
    <w:rsid w:val="398B750F"/>
    <w:rsid w:val="39F3534D"/>
    <w:rsid w:val="3A487FB1"/>
    <w:rsid w:val="3AA0348E"/>
    <w:rsid w:val="3AC32CD9"/>
    <w:rsid w:val="3ADB0022"/>
    <w:rsid w:val="3B585B17"/>
    <w:rsid w:val="3C047A4D"/>
    <w:rsid w:val="3D8B21D4"/>
    <w:rsid w:val="3DA037A5"/>
    <w:rsid w:val="3F0E37CA"/>
    <w:rsid w:val="3FAF41BC"/>
    <w:rsid w:val="426B1E48"/>
    <w:rsid w:val="42CE3AF2"/>
    <w:rsid w:val="43D877F5"/>
    <w:rsid w:val="43FB1735"/>
    <w:rsid w:val="445A0FBF"/>
    <w:rsid w:val="450C63D6"/>
    <w:rsid w:val="46565349"/>
    <w:rsid w:val="465A4F2F"/>
    <w:rsid w:val="46E26BDC"/>
    <w:rsid w:val="48C97457"/>
    <w:rsid w:val="48E83B06"/>
    <w:rsid w:val="48F14260"/>
    <w:rsid w:val="4A3A795F"/>
    <w:rsid w:val="4C954E2A"/>
    <w:rsid w:val="4D225F85"/>
    <w:rsid w:val="4DE638C5"/>
    <w:rsid w:val="4E305091"/>
    <w:rsid w:val="4E7937FC"/>
    <w:rsid w:val="4F397AA9"/>
    <w:rsid w:val="50CB491A"/>
    <w:rsid w:val="50ED0658"/>
    <w:rsid w:val="521C2FA3"/>
    <w:rsid w:val="52377DDC"/>
    <w:rsid w:val="52F67C97"/>
    <w:rsid w:val="5362532D"/>
    <w:rsid w:val="555667CB"/>
    <w:rsid w:val="5590126B"/>
    <w:rsid w:val="55F61D5C"/>
    <w:rsid w:val="56596EE0"/>
    <w:rsid w:val="56B55774"/>
    <w:rsid w:val="573C227B"/>
    <w:rsid w:val="57885CB1"/>
    <w:rsid w:val="5A875679"/>
    <w:rsid w:val="5B00498D"/>
    <w:rsid w:val="5BE70AC5"/>
    <w:rsid w:val="5BF907F8"/>
    <w:rsid w:val="5CEB0141"/>
    <w:rsid w:val="5D647EF4"/>
    <w:rsid w:val="5D740137"/>
    <w:rsid w:val="5D9A56C3"/>
    <w:rsid w:val="5E251431"/>
    <w:rsid w:val="5E582369"/>
    <w:rsid w:val="5F27742B"/>
    <w:rsid w:val="5F7A1C50"/>
    <w:rsid w:val="5FE568D8"/>
    <w:rsid w:val="60854409"/>
    <w:rsid w:val="60D55390"/>
    <w:rsid w:val="61DA69D6"/>
    <w:rsid w:val="640F0BB9"/>
    <w:rsid w:val="65167D25"/>
    <w:rsid w:val="6525440C"/>
    <w:rsid w:val="65E61F69"/>
    <w:rsid w:val="675B5EC3"/>
    <w:rsid w:val="681C6E48"/>
    <w:rsid w:val="6845789D"/>
    <w:rsid w:val="6A2353BE"/>
    <w:rsid w:val="6A7F45BF"/>
    <w:rsid w:val="6AE54422"/>
    <w:rsid w:val="6B2C02A3"/>
    <w:rsid w:val="6D043CED"/>
    <w:rsid w:val="6D0D6429"/>
    <w:rsid w:val="6DA92767"/>
    <w:rsid w:val="6DC5254F"/>
    <w:rsid w:val="6E290AC9"/>
    <w:rsid w:val="6E661D1D"/>
    <w:rsid w:val="6E754EAA"/>
    <w:rsid w:val="6F683873"/>
    <w:rsid w:val="6F80083C"/>
    <w:rsid w:val="70227EC6"/>
    <w:rsid w:val="7067729D"/>
    <w:rsid w:val="70BC5C25"/>
    <w:rsid w:val="728E6C46"/>
    <w:rsid w:val="73155AC0"/>
    <w:rsid w:val="73504555"/>
    <w:rsid w:val="739C1D3D"/>
    <w:rsid w:val="74C4779E"/>
    <w:rsid w:val="755152D3"/>
    <w:rsid w:val="768E0A82"/>
    <w:rsid w:val="76E671EB"/>
    <w:rsid w:val="7856695F"/>
    <w:rsid w:val="7931117A"/>
    <w:rsid w:val="7A0348C4"/>
    <w:rsid w:val="7A287E87"/>
    <w:rsid w:val="7A356A48"/>
    <w:rsid w:val="7A3E76AA"/>
    <w:rsid w:val="7B0F7299"/>
    <w:rsid w:val="7B40322C"/>
    <w:rsid w:val="7C0E1565"/>
    <w:rsid w:val="7CF75D16"/>
    <w:rsid w:val="7D172435"/>
    <w:rsid w:val="7D933E36"/>
    <w:rsid w:val="7F914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Heading3"/>
    <w:basedOn w:val="1"/>
    <w:next w:val="1"/>
    <w:qFormat/>
    <w:uiPriority w:val="0"/>
    <w:pPr>
      <w:keepNext/>
      <w:keepLines/>
      <w:spacing w:line="413" w:lineRule="auto"/>
      <w:jc w:val="both"/>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2025-10-13T03:54:00Z</dcterms:created>
  <dc:creator>Administrator</dc:creator>
  <cp:lastModifiedBy>L</cp:lastModifiedBy>
  <cp:lastPrinted>2025-10-23T02:52:00Z</cp:lastPrinted>
  <dcterms:modified xsi:type="dcterms:W3CDTF">2026-07-07T03:07:56Z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961EB85B511C42EEBABA296FDCB7B82C</vt:lpwstr>
  </property>
</Properties>
</file>