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方正小标宋简体" w:eastAsia="黑体" w:cs="方正小标宋简体"/>
          <w:sz w:val="44"/>
          <w:szCs w:val="44"/>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spacing w:line="600" w:lineRule="exact"/>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紫金县2026年度部门联合“双随机、一公开”抽查计划</w:t>
      </w:r>
    </w:p>
    <w:tbl>
      <w:tblPr>
        <w:tblStyle w:val="5"/>
        <w:tblW w:w="15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728"/>
        <w:gridCol w:w="2899"/>
        <w:gridCol w:w="1081"/>
        <w:gridCol w:w="2018"/>
        <w:gridCol w:w="1250"/>
        <w:gridCol w:w="972"/>
        <w:gridCol w:w="1400"/>
        <w:gridCol w:w="1320"/>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27" w:type="dxa"/>
            <w:vAlign w:val="center"/>
          </w:tcPr>
          <w:p>
            <w:pPr>
              <w:widowControl/>
              <w:spacing w:line="32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序号</w:t>
            </w:r>
          </w:p>
        </w:tc>
        <w:tc>
          <w:tcPr>
            <w:tcW w:w="1728" w:type="dxa"/>
            <w:vAlign w:val="center"/>
          </w:tcPr>
          <w:p>
            <w:pPr>
              <w:widowControl/>
              <w:spacing w:line="32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抽查任务名称</w:t>
            </w:r>
          </w:p>
        </w:tc>
        <w:tc>
          <w:tcPr>
            <w:tcW w:w="2899" w:type="dxa"/>
            <w:vAlign w:val="center"/>
          </w:tcPr>
          <w:p>
            <w:pPr>
              <w:widowControl/>
              <w:spacing w:line="320" w:lineRule="exact"/>
              <w:jc w:val="center"/>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rPr>
              <w:t>抽查事项</w:t>
            </w:r>
          </w:p>
        </w:tc>
        <w:tc>
          <w:tcPr>
            <w:tcW w:w="1081" w:type="dxa"/>
            <w:vAlign w:val="center"/>
          </w:tcPr>
          <w:p>
            <w:pPr>
              <w:widowControl/>
              <w:spacing w:line="320" w:lineRule="exact"/>
              <w:jc w:val="center"/>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rPr>
              <w:t>抽查类型</w:t>
            </w:r>
          </w:p>
        </w:tc>
        <w:tc>
          <w:tcPr>
            <w:tcW w:w="2018" w:type="dxa"/>
            <w:vAlign w:val="center"/>
          </w:tcPr>
          <w:p>
            <w:pPr>
              <w:widowControl/>
              <w:spacing w:line="32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抽查对象范围</w:t>
            </w:r>
          </w:p>
        </w:tc>
        <w:tc>
          <w:tcPr>
            <w:tcW w:w="1250" w:type="dxa"/>
            <w:vAlign w:val="center"/>
          </w:tcPr>
          <w:p>
            <w:pPr>
              <w:widowControl/>
              <w:spacing w:line="320" w:lineRule="exact"/>
              <w:jc w:val="center"/>
              <w:rPr>
                <w:rFonts w:hint="eastAsia" w:ascii="宋体" w:hAnsi="宋体" w:eastAsia="宋体" w:cs="宋体"/>
                <w:b/>
                <w:bCs/>
                <w:color w:val="auto"/>
                <w:kern w:val="0"/>
                <w:sz w:val="21"/>
                <w:szCs w:val="21"/>
                <w:lang w:val="en-US" w:eastAsia="zh-CN" w:bidi="ar-SA"/>
              </w:rPr>
            </w:pPr>
            <w:r>
              <w:rPr>
                <w:rFonts w:hint="eastAsia" w:ascii="宋体" w:hAnsi="宋体" w:cs="宋体"/>
                <w:b/>
                <w:bCs/>
                <w:color w:val="auto"/>
                <w:kern w:val="0"/>
                <w:sz w:val="21"/>
                <w:szCs w:val="21"/>
                <w:lang w:eastAsia="zh-CN"/>
              </w:rPr>
              <w:t>抽查对象总数</w:t>
            </w:r>
          </w:p>
        </w:tc>
        <w:tc>
          <w:tcPr>
            <w:tcW w:w="972" w:type="dxa"/>
            <w:vAlign w:val="center"/>
          </w:tcPr>
          <w:p>
            <w:pPr>
              <w:widowControl/>
              <w:spacing w:line="320" w:lineRule="exact"/>
              <w:jc w:val="center"/>
              <w:rPr>
                <w:rFonts w:hint="eastAsia" w:ascii="宋体" w:hAnsi="宋体" w:eastAsia="宋体" w:cs="宋体"/>
                <w:b/>
                <w:bCs/>
                <w:color w:val="auto"/>
                <w:kern w:val="0"/>
                <w:sz w:val="21"/>
                <w:szCs w:val="21"/>
                <w:lang w:val="en-US" w:eastAsia="zh-CN" w:bidi="ar-SA"/>
              </w:rPr>
            </w:pPr>
            <w:r>
              <w:rPr>
                <w:rFonts w:hint="eastAsia" w:ascii="宋体" w:hAnsi="宋体" w:cs="宋体"/>
                <w:b/>
                <w:bCs/>
                <w:color w:val="auto"/>
                <w:kern w:val="0"/>
                <w:sz w:val="21"/>
                <w:szCs w:val="21"/>
                <w:lang w:eastAsia="zh-CN"/>
              </w:rPr>
              <w:t>总抽查比例</w:t>
            </w:r>
          </w:p>
        </w:tc>
        <w:tc>
          <w:tcPr>
            <w:tcW w:w="1400" w:type="dxa"/>
            <w:vAlign w:val="center"/>
          </w:tcPr>
          <w:p>
            <w:pPr>
              <w:widowControl/>
              <w:spacing w:line="320" w:lineRule="exact"/>
              <w:jc w:val="center"/>
              <w:rPr>
                <w:rFonts w:hint="eastAsia" w:ascii="宋体" w:hAnsi="宋体" w:eastAsia="宋体" w:cs="宋体"/>
                <w:b/>
                <w:bCs/>
                <w:color w:val="auto"/>
                <w:kern w:val="0"/>
                <w:sz w:val="21"/>
                <w:szCs w:val="21"/>
                <w:lang w:eastAsia="zh-CN"/>
              </w:rPr>
            </w:pPr>
            <w:r>
              <w:rPr>
                <w:rFonts w:hint="eastAsia" w:ascii="宋体" w:hAnsi="宋体" w:eastAsia="宋体" w:cs="宋体"/>
                <w:b/>
                <w:bCs/>
                <w:color w:val="auto"/>
                <w:kern w:val="0"/>
                <w:sz w:val="21"/>
                <w:szCs w:val="21"/>
              </w:rPr>
              <w:t>抽</w:t>
            </w:r>
            <w:r>
              <w:rPr>
                <w:rFonts w:hint="eastAsia" w:ascii="宋体" w:hAnsi="宋体" w:cs="宋体"/>
                <w:b/>
                <w:bCs/>
                <w:color w:val="auto"/>
                <w:kern w:val="0"/>
                <w:sz w:val="21"/>
                <w:szCs w:val="21"/>
                <w:lang w:eastAsia="zh-CN"/>
              </w:rPr>
              <w:t>查时间</w:t>
            </w:r>
          </w:p>
        </w:tc>
        <w:tc>
          <w:tcPr>
            <w:tcW w:w="1320" w:type="dxa"/>
            <w:vAlign w:val="center"/>
          </w:tcPr>
          <w:p>
            <w:pPr>
              <w:widowControl/>
              <w:spacing w:line="320" w:lineRule="exact"/>
              <w:jc w:val="center"/>
              <w:rPr>
                <w:rFonts w:hint="eastAsia" w:ascii="宋体" w:hAnsi="宋体" w:eastAsia="宋体" w:cs="宋体"/>
                <w:b/>
                <w:bCs/>
                <w:color w:val="auto"/>
                <w:kern w:val="0"/>
                <w:sz w:val="21"/>
                <w:szCs w:val="21"/>
              </w:rPr>
            </w:pPr>
            <w:r>
              <w:rPr>
                <w:rFonts w:hint="eastAsia" w:ascii="宋体" w:hAnsi="宋体" w:cs="宋体"/>
                <w:b/>
                <w:bCs/>
                <w:color w:val="auto"/>
                <w:kern w:val="0"/>
                <w:sz w:val="21"/>
                <w:szCs w:val="21"/>
                <w:lang w:eastAsia="zh-CN"/>
              </w:rPr>
              <w:t>发起</w:t>
            </w:r>
            <w:r>
              <w:rPr>
                <w:rFonts w:hint="eastAsia" w:ascii="宋体" w:hAnsi="宋体" w:eastAsia="宋体" w:cs="宋体"/>
                <w:b/>
                <w:bCs/>
                <w:color w:val="auto"/>
                <w:kern w:val="0"/>
                <w:sz w:val="21"/>
                <w:szCs w:val="21"/>
              </w:rPr>
              <w:t>部门</w:t>
            </w:r>
          </w:p>
        </w:tc>
        <w:tc>
          <w:tcPr>
            <w:tcW w:w="1710" w:type="dxa"/>
            <w:vAlign w:val="center"/>
          </w:tcPr>
          <w:p>
            <w:pPr>
              <w:widowControl/>
              <w:spacing w:line="320" w:lineRule="exact"/>
              <w:jc w:val="center"/>
              <w:rPr>
                <w:rFonts w:hint="eastAsia" w:ascii="宋体" w:hAnsi="宋体" w:eastAsia="宋体" w:cs="宋体"/>
                <w:b/>
                <w:bCs/>
                <w:color w:val="auto"/>
                <w:kern w:val="0"/>
                <w:sz w:val="21"/>
                <w:szCs w:val="21"/>
              </w:rPr>
            </w:pPr>
            <w:r>
              <w:rPr>
                <w:rFonts w:hint="eastAsia" w:ascii="宋体" w:hAnsi="宋体" w:cs="宋体"/>
                <w:b/>
                <w:bCs/>
                <w:color w:val="auto"/>
                <w:kern w:val="0"/>
                <w:sz w:val="21"/>
                <w:szCs w:val="21"/>
                <w:lang w:eastAsia="zh-CN"/>
              </w:rPr>
              <w:t>参与</w:t>
            </w:r>
            <w:r>
              <w:rPr>
                <w:rFonts w:hint="eastAsia" w:ascii="宋体" w:hAnsi="宋体" w:eastAsia="宋体" w:cs="宋体"/>
                <w:b/>
                <w:bCs/>
                <w:color w:val="auto"/>
                <w:kern w:val="0"/>
                <w:sz w:val="21"/>
                <w:szCs w:val="21"/>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727"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w:t>
            </w:r>
          </w:p>
        </w:tc>
        <w:tc>
          <w:tcPr>
            <w:tcW w:w="1728" w:type="dxa"/>
            <w:shd w:val="clear" w:color="auto" w:fill="auto"/>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粮食检查</w:t>
            </w:r>
          </w:p>
        </w:tc>
        <w:tc>
          <w:tcPr>
            <w:tcW w:w="2899" w:type="dxa"/>
            <w:shd w:val="clear" w:color="auto" w:fill="auto"/>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粮食储备、购销活动，价格违法、计量违法</w:t>
            </w:r>
          </w:p>
        </w:tc>
        <w:tc>
          <w:tcPr>
            <w:tcW w:w="1081" w:type="dxa"/>
            <w:shd w:val="clear" w:color="auto" w:fill="auto"/>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2018" w:type="dxa"/>
            <w:shd w:val="clear" w:color="auto" w:fill="auto"/>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全县粮食企业</w:t>
            </w:r>
          </w:p>
        </w:tc>
        <w:tc>
          <w:tcPr>
            <w:tcW w:w="1250" w:type="dxa"/>
            <w:shd w:val="clear" w:color="auto" w:fill="auto"/>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w:t>
            </w:r>
          </w:p>
        </w:tc>
        <w:tc>
          <w:tcPr>
            <w:tcW w:w="972" w:type="dxa"/>
            <w:shd w:val="clear" w:color="auto" w:fill="auto"/>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50%</w:t>
            </w:r>
          </w:p>
        </w:tc>
        <w:tc>
          <w:tcPr>
            <w:tcW w:w="1400" w:type="dxa"/>
            <w:shd w:val="clear" w:color="auto" w:fill="auto"/>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2026年4-11月</w:t>
            </w:r>
          </w:p>
        </w:tc>
        <w:tc>
          <w:tcPr>
            <w:tcW w:w="1320" w:type="dxa"/>
            <w:shd w:val="clear" w:color="auto" w:fill="auto"/>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紫金县发展和改革局</w:t>
            </w:r>
          </w:p>
        </w:tc>
        <w:tc>
          <w:tcPr>
            <w:tcW w:w="1710" w:type="dxa"/>
            <w:shd w:val="clear" w:color="auto" w:fill="auto"/>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7" w:type="dxa"/>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w:t>
            </w:r>
          </w:p>
        </w:tc>
        <w:tc>
          <w:tcPr>
            <w:tcW w:w="172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中小学教育装备产品（含文体教育用品、教学仪器、校服等）检查</w:t>
            </w:r>
          </w:p>
        </w:tc>
        <w:tc>
          <w:tcPr>
            <w:tcW w:w="2899"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1.核查教学仪器（含体育教学用品）是否按正常采购程序采购，是否签订合同，有无验收清单，是否符合国标。2.图书是否按正常采购程序采购，是否签订合同；有无盗版或违规禁用图书。</w:t>
            </w:r>
          </w:p>
        </w:tc>
        <w:tc>
          <w:tcPr>
            <w:tcW w:w="1081"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201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紫金县中小学校</w:t>
            </w:r>
          </w:p>
        </w:tc>
        <w:tc>
          <w:tcPr>
            <w:tcW w:w="125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16</w:t>
            </w:r>
          </w:p>
        </w:tc>
        <w:tc>
          <w:tcPr>
            <w:tcW w:w="972"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6%</w:t>
            </w:r>
          </w:p>
        </w:tc>
        <w:tc>
          <w:tcPr>
            <w:tcW w:w="140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2026年9月-10月</w:t>
            </w:r>
          </w:p>
        </w:tc>
        <w:tc>
          <w:tcPr>
            <w:tcW w:w="132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紫金县教育局</w:t>
            </w:r>
          </w:p>
        </w:tc>
        <w:tc>
          <w:tcPr>
            <w:tcW w:w="171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727" w:type="dxa"/>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w:t>
            </w:r>
          </w:p>
        </w:tc>
        <w:tc>
          <w:tcPr>
            <w:tcW w:w="172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对校车安全的检查</w:t>
            </w:r>
          </w:p>
        </w:tc>
        <w:tc>
          <w:tcPr>
            <w:tcW w:w="2899"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核查许可、制度、台账、安全教育与演练落实情况</w:t>
            </w:r>
          </w:p>
        </w:tc>
        <w:tc>
          <w:tcPr>
            <w:tcW w:w="1081"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201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紫金县取得校车使用许可的校（园）</w:t>
            </w:r>
          </w:p>
        </w:tc>
        <w:tc>
          <w:tcPr>
            <w:tcW w:w="125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15</w:t>
            </w:r>
          </w:p>
        </w:tc>
        <w:tc>
          <w:tcPr>
            <w:tcW w:w="972"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w:t>
            </w:r>
          </w:p>
        </w:tc>
        <w:tc>
          <w:tcPr>
            <w:tcW w:w="140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2026年4月-6月</w:t>
            </w:r>
          </w:p>
        </w:tc>
        <w:tc>
          <w:tcPr>
            <w:tcW w:w="132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紫金县教育局</w:t>
            </w:r>
          </w:p>
        </w:tc>
        <w:tc>
          <w:tcPr>
            <w:tcW w:w="171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县公安局、县交通运输局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727" w:type="dxa"/>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w:t>
            </w:r>
          </w:p>
        </w:tc>
        <w:tc>
          <w:tcPr>
            <w:tcW w:w="172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宾馆、旅店监督抽查</w:t>
            </w:r>
          </w:p>
        </w:tc>
        <w:tc>
          <w:tcPr>
            <w:tcW w:w="2899"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宾馆、旅店治安安全情况的检查</w:t>
            </w:r>
          </w:p>
        </w:tc>
        <w:tc>
          <w:tcPr>
            <w:tcW w:w="1081"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201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各类宾馆、旅店</w:t>
            </w:r>
          </w:p>
        </w:tc>
        <w:tc>
          <w:tcPr>
            <w:tcW w:w="125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30</w:t>
            </w:r>
          </w:p>
        </w:tc>
        <w:tc>
          <w:tcPr>
            <w:tcW w:w="972"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w:t>
            </w:r>
          </w:p>
        </w:tc>
        <w:tc>
          <w:tcPr>
            <w:tcW w:w="140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2026年4月-10月</w:t>
            </w:r>
          </w:p>
        </w:tc>
        <w:tc>
          <w:tcPr>
            <w:tcW w:w="132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紫金县公安局</w:t>
            </w:r>
          </w:p>
        </w:tc>
        <w:tc>
          <w:tcPr>
            <w:tcW w:w="171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县应急管理局、县市场监管局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727" w:type="dxa"/>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w:t>
            </w:r>
          </w:p>
        </w:tc>
        <w:tc>
          <w:tcPr>
            <w:tcW w:w="172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保安行业相关单位抽查</w:t>
            </w:r>
          </w:p>
        </w:tc>
        <w:tc>
          <w:tcPr>
            <w:tcW w:w="2899"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保安从业单位及其保安服务活动情况的检查</w:t>
            </w:r>
          </w:p>
        </w:tc>
        <w:tc>
          <w:tcPr>
            <w:tcW w:w="1081"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201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紫金县保安行业相关单位</w:t>
            </w:r>
          </w:p>
        </w:tc>
        <w:tc>
          <w:tcPr>
            <w:tcW w:w="125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w:t>
            </w:r>
          </w:p>
        </w:tc>
        <w:tc>
          <w:tcPr>
            <w:tcW w:w="972"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50%</w:t>
            </w:r>
          </w:p>
        </w:tc>
        <w:tc>
          <w:tcPr>
            <w:tcW w:w="140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2026年4月-10月</w:t>
            </w:r>
          </w:p>
        </w:tc>
        <w:tc>
          <w:tcPr>
            <w:tcW w:w="132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紫金县公安局</w:t>
            </w:r>
          </w:p>
        </w:tc>
        <w:tc>
          <w:tcPr>
            <w:tcW w:w="171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727" w:type="dxa"/>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6</w:t>
            </w:r>
          </w:p>
        </w:tc>
        <w:tc>
          <w:tcPr>
            <w:tcW w:w="172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爆破作业单位抽查</w:t>
            </w:r>
          </w:p>
        </w:tc>
        <w:tc>
          <w:tcPr>
            <w:tcW w:w="2899"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民用爆破物仓储情况的检、爆破作业单位作业情况的检查</w:t>
            </w:r>
          </w:p>
        </w:tc>
        <w:tc>
          <w:tcPr>
            <w:tcW w:w="1081"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201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紫金县爆破作业单位</w:t>
            </w:r>
          </w:p>
        </w:tc>
        <w:tc>
          <w:tcPr>
            <w:tcW w:w="125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w:t>
            </w:r>
          </w:p>
        </w:tc>
        <w:tc>
          <w:tcPr>
            <w:tcW w:w="972"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50%</w:t>
            </w:r>
          </w:p>
        </w:tc>
        <w:tc>
          <w:tcPr>
            <w:tcW w:w="140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2026年4月-10月</w:t>
            </w:r>
          </w:p>
        </w:tc>
        <w:tc>
          <w:tcPr>
            <w:tcW w:w="132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紫金县公安局</w:t>
            </w:r>
          </w:p>
        </w:tc>
        <w:tc>
          <w:tcPr>
            <w:tcW w:w="171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县自然资源局、县气象局、县市场监管局、县林业局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727" w:type="dxa"/>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7</w:t>
            </w:r>
          </w:p>
        </w:tc>
        <w:tc>
          <w:tcPr>
            <w:tcW w:w="172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易制毒化学品从业单位随机抽查</w:t>
            </w:r>
          </w:p>
        </w:tc>
        <w:tc>
          <w:tcPr>
            <w:tcW w:w="2899"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对易制毒化学品生产、经营、购买、运输、仓储等情况进行监督检查</w:t>
            </w:r>
          </w:p>
        </w:tc>
        <w:tc>
          <w:tcPr>
            <w:tcW w:w="1081"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不定向</w:t>
            </w:r>
          </w:p>
        </w:tc>
        <w:tc>
          <w:tcPr>
            <w:tcW w:w="201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易制毒化学品从业单位</w:t>
            </w:r>
          </w:p>
        </w:tc>
        <w:tc>
          <w:tcPr>
            <w:tcW w:w="125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17</w:t>
            </w:r>
          </w:p>
        </w:tc>
        <w:tc>
          <w:tcPr>
            <w:tcW w:w="972"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w:t>
            </w:r>
          </w:p>
        </w:tc>
        <w:tc>
          <w:tcPr>
            <w:tcW w:w="140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2026年4-11月</w:t>
            </w:r>
          </w:p>
        </w:tc>
        <w:tc>
          <w:tcPr>
            <w:tcW w:w="132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公安局</w:t>
            </w:r>
          </w:p>
        </w:tc>
        <w:tc>
          <w:tcPr>
            <w:tcW w:w="171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县交通运输局、县卫生健康局、县应急管理局、县市场监管局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727" w:type="dxa"/>
            <w:vAlign w:val="center"/>
          </w:tcPr>
          <w:p>
            <w:pPr>
              <w:widowControl/>
              <w:spacing w:line="320" w:lineRule="exact"/>
              <w:jc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8</w:t>
            </w:r>
          </w:p>
        </w:tc>
        <w:tc>
          <w:tcPr>
            <w:tcW w:w="172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人力资源及劳务派遣检查</w:t>
            </w:r>
          </w:p>
        </w:tc>
        <w:tc>
          <w:tcPr>
            <w:tcW w:w="2899"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人力资源市场及劳务派遣法律法规执行情况检查</w:t>
            </w:r>
          </w:p>
        </w:tc>
        <w:tc>
          <w:tcPr>
            <w:tcW w:w="1081"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201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从事人力资源服务及劳务派遣业务的公司</w:t>
            </w:r>
          </w:p>
        </w:tc>
        <w:tc>
          <w:tcPr>
            <w:tcW w:w="125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14</w:t>
            </w:r>
          </w:p>
        </w:tc>
        <w:tc>
          <w:tcPr>
            <w:tcW w:w="972"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60%</w:t>
            </w:r>
          </w:p>
        </w:tc>
        <w:tc>
          <w:tcPr>
            <w:tcW w:w="140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4-6月</w:t>
            </w:r>
          </w:p>
        </w:tc>
        <w:tc>
          <w:tcPr>
            <w:tcW w:w="132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紫金县人力资源和社会保障局</w:t>
            </w:r>
          </w:p>
        </w:tc>
        <w:tc>
          <w:tcPr>
            <w:tcW w:w="171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7" w:type="dxa"/>
            <w:vAlign w:val="center"/>
          </w:tcPr>
          <w:p>
            <w:pPr>
              <w:widowControl/>
              <w:spacing w:line="320" w:lineRule="exact"/>
              <w:jc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9</w:t>
            </w:r>
          </w:p>
        </w:tc>
        <w:tc>
          <w:tcPr>
            <w:tcW w:w="172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劳动用工监管</w:t>
            </w:r>
          </w:p>
        </w:tc>
        <w:tc>
          <w:tcPr>
            <w:tcW w:w="2899"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建设领域各企业遵守按月足额支付工资规定、劳动合同签订、落实工人工资支付保证金、分账管理和劳动用工实名制等制度及其他劳动用工情况等</w:t>
            </w:r>
          </w:p>
        </w:tc>
        <w:tc>
          <w:tcPr>
            <w:tcW w:w="1081"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201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县区建设领域各在建工程项目建设单位、施工总承包单位、分包单位</w:t>
            </w:r>
          </w:p>
        </w:tc>
        <w:tc>
          <w:tcPr>
            <w:tcW w:w="125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16</w:t>
            </w:r>
          </w:p>
        </w:tc>
        <w:tc>
          <w:tcPr>
            <w:tcW w:w="972"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50%</w:t>
            </w:r>
          </w:p>
        </w:tc>
        <w:tc>
          <w:tcPr>
            <w:tcW w:w="140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4-10月</w:t>
            </w:r>
          </w:p>
        </w:tc>
        <w:tc>
          <w:tcPr>
            <w:tcW w:w="132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紫金县人力资源和社会保障局</w:t>
            </w:r>
          </w:p>
        </w:tc>
        <w:tc>
          <w:tcPr>
            <w:tcW w:w="171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县住建局、县交通运输局、县水务局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727" w:type="dxa"/>
            <w:vAlign w:val="center"/>
          </w:tcPr>
          <w:p>
            <w:pPr>
              <w:adjustRightInd w:val="0"/>
              <w:snapToGrid w:val="0"/>
              <w:jc w:val="center"/>
              <w:rPr>
                <w:rFonts w:hint="default"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10</w:t>
            </w:r>
          </w:p>
        </w:tc>
        <w:tc>
          <w:tcPr>
            <w:tcW w:w="172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市政工程监督检查</w:t>
            </w:r>
          </w:p>
        </w:tc>
        <w:tc>
          <w:tcPr>
            <w:tcW w:w="2899"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城镇污水处理设施污染防治情况的检查</w:t>
            </w:r>
          </w:p>
        </w:tc>
        <w:tc>
          <w:tcPr>
            <w:tcW w:w="1081"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不定向</w:t>
            </w:r>
          </w:p>
        </w:tc>
        <w:tc>
          <w:tcPr>
            <w:tcW w:w="201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城镇污水处理厂</w:t>
            </w:r>
          </w:p>
        </w:tc>
        <w:tc>
          <w:tcPr>
            <w:tcW w:w="125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16</w:t>
            </w:r>
          </w:p>
        </w:tc>
        <w:tc>
          <w:tcPr>
            <w:tcW w:w="972"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15%</w:t>
            </w:r>
          </w:p>
        </w:tc>
        <w:tc>
          <w:tcPr>
            <w:tcW w:w="140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2026年3月-8月</w:t>
            </w:r>
          </w:p>
        </w:tc>
        <w:tc>
          <w:tcPr>
            <w:tcW w:w="132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河源市生态环境局紫金分局</w:t>
            </w:r>
          </w:p>
        </w:tc>
        <w:tc>
          <w:tcPr>
            <w:tcW w:w="171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jc w:val="center"/>
        </w:trPr>
        <w:tc>
          <w:tcPr>
            <w:tcW w:w="727" w:type="dxa"/>
            <w:vAlign w:val="center"/>
          </w:tcPr>
          <w:p>
            <w:pPr>
              <w:adjustRightInd w:val="0"/>
              <w:snapToGrid w:val="0"/>
              <w:jc w:val="center"/>
              <w:rPr>
                <w:rFonts w:hint="default"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11</w:t>
            </w:r>
          </w:p>
        </w:tc>
        <w:tc>
          <w:tcPr>
            <w:tcW w:w="172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劳动用工监管</w:t>
            </w:r>
          </w:p>
        </w:tc>
        <w:tc>
          <w:tcPr>
            <w:tcW w:w="2899"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各类用人单位（与劳动者建立劳动关系）工资支付情况检查</w:t>
            </w:r>
          </w:p>
        </w:tc>
        <w:tc>
          <w:tcPr>
            <w:tcW w:w="1081"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201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各类用人单位（与劳动者建立劳动关系）</w:t>
            </w:r>
          </w:p>
        </w:tc>
        <w:tc>
          <w:tcPr>
            <w:tcW w:w="125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县辖区内在建项目，数量待定</w:t>
            </w:r>
          </w:p>
        </w:tc>
        <w:tc>
          <w:tcPr>
            <w:tcW w:w="972"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每年10％抽查</w:t>
            </w:r>
          </w:p>
        </w:tc>
        <w:tc>
          <w:tcPr>
            <w:tcW w:w="140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2026年10月底前</w:t>
            </w:r>
          </w:p>
        </w:tc>
        <w:tc>
          <w:tcPr>
            <w:tcW w:w="132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紫金县住房和城乡建设局</w:t>
            </w:r>
          </w:p>
        </w:tc>
        <w:tc>
          <w:tcPr>
            <w:tcW w:w="171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县人力资源社会保障局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727" w:type="dxa"/>
            <w:vAlign w:val="center"/>
          </w:tcPr>
          <w:p>
            <w:pPr>
              <w:adjustRightInd w:val="0"/>
              <w:snapToGrid w:val="0"/>
              <w:jc w:val="center"/>
              <w:rPr>
                <w:rFonts w:hint="default"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12</w:t>
            </w:r>
          </w:p>
        </w:tc>
        <w:tc>
          <w:tcPr>
            <w:tcW w:w="172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消防监督抽查</w:t>
            </w:r>
          </w:p>
        </w:tc>
        <w:tc>
          <w:tcPr>
            <w:tcW w:w="2899"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对养老机构遵守消防法律、法规的情况进行监督检查</w:t>
            </w:r>
          </w:p>
        </w:tc>
        <w:tc>
          <w:tcPr>
            <w:tcW w:w="1081"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201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养老机构、老年人日间照料场所</w:t>
            </w:r>
          </w:p>
        </w:tc>
        <w:tc>
          <w:tcPr>
            <w:tcW w:w="125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县辖区内注册机构、场所，数量待定</w:t>
            </w:r>
          </w:p>
        </w:tc>
        <w:tc>
          <w:tcPr>
            <w:tcW w:w="972"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每年10％抽查</w:t>
            </w:r>
          </w:p>
        </w:tc>
        <w:tc>
          <w:tcPr>
            <w:tcW w:w="140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2026年10月底前</w:t>
            </w:r>
          </w:p>
        </w:tc>
        <w:tc>
          <w:tcPr>
            <w:tcW w:w="132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紫金县住房和城乡建设局</w:t>
            </w:r>
          </w:p>
        </w:tc>
        <w:tc>
          <w:tcPr>
            <w:tcW w:w="171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县消防救援大队、县民政局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27" w:type="dxa"/>
            <w:shd w:val="clear" w:color="auto" w:fill="auto"/>
            <w:vAlign w:val="center"/>
          </w:tcPr>
          <w:p>
            <w:pPr>
              <w:adjustRightInd w:val="0"/>
              <w:snapToGrid w:val="0"/>
              <w:jc w:val="center"/>
              <w:rPr>
                <w:rFonts w:hint="default"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13</w:t>
            </w:r>
          </w:p>
        </w:tc>
        <w:tc>
          <w:tcPr>
            <w:tcW w:w="1728" w:type="dxa"/>
            <w:shd w:val="clear" w:color="auto" w:fill="auto"/>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道路危险</w:t>
            </w:r>
            <w:r>
              <w:rPr>
                <w:rFonts w:hint="eastAsia" w:ascii="Times New Roman" w:hAnsi="Times New Roman" w:eastAsia="仿宋_GB2312" w:cs="仿宋_GB2312"/>
                <w:kern w:val="2"/>
                <w:sz w:val="24"/>
                <w:szCs w:val="24"/>
                <w:lang w:val="en-US" w:eastAsia="zh-CN" w:bidi="ar-SA"/>
              </w:rPr>
              <w:br w:type="textWrapping"/>
            </w:r>
            <w:r>
              <w:rPr>
                <w:rFonts w:hint="eastAsia" w:ascii="Times New Roman" w:hAnsi="Times New Roman" w:eastAsia="仿宋_GB2312" w:cs="仿宋_GB2312"/>
                <w:kern w:val="2"/>
                <w:sz w:val="24"/>
                <w:szCs w:val="24"/>
                <w:lang w:val="en-US" w:eastAsia="zh-CN" w:bidi="ar-SA"/>
              </w:rPr>
              <w:t>货物运输</w:t>
            </w:r>
            <w:r>
              <w:rPr>
                <w:rFonts w:hint="eastAsia" w:ascii="Times New Roman" w:hAnsi="Times New Roman" w:eastAsia="仿宋_GB2312" w:cs="仿宋_GB2312"/>
                <w:kern w:val="2"/>
                <w:sz w:val="24"/>
                <w:szCs w:val="24"/>
                <w:lang w:val="en-US" w:eastAsia="zh-CN" w:bidi="ar-SA"/>
              </w:rPr>
              <w:br w:type="textWrapping"/>
            </w:r>
            <w:r>
              <w:rPr>
                <w:rFonts w:hint="eastAsia" w:ascii="Times New Roman" w:hAnsi="Times New Roman" w:eastAsia="仿宋_GB2312" w:cs="仿宋_GB2312"/>
                <w:kern w:val="2"/>
                <w:sz w:val="24"/>
                <w:szCs w:val="24"/>
                <w:lang w:val="en-US" w:eastAsia="zh-CN" w:bidi="ar-SA"/>
              </w:rPr>
              <w:t>行业监督</w:t>
            </w:r>
            <w:r>
              <w:rPr>
                <w:rFonts w:hint="eastAsia" w:ascii="Times New Roman" w:hAnsi="Times New Roman" w:eastAsia="仿宋_GB2312" w:cs="仿宋_GB2312"/>
                <w:kern w:val="2"/>
                <w:sz w:val="24"/>
                <w:szCs w:val="24"/>
                <w:lang w:val="en-US" w:eastAsia="zh-CN" w:bidi="ar-SA"/>
              </w:rPr>
              <w:br w:type="textWrapping"/>
            </w:r>
            <w:r>
              <w:rPr>
                <w:rFonts w:hint="eastAsia" w:ascii="Times New Roman" w:hAnsi="Times New Roman" w:eastAsia="仿宋_GB2312" w:cs="仿宋_GB2312"/>
                <w:kern w:val="2"/>
                <w:sz w:val="24"/>
                <w:szCs w:val="24"/>
                <w:lang w:val="en-US" w:eastAsia="zh-CN" w:bidi="ar-SA"/>
              </w:rPr>
              <w:t>行政检查</w:t>
            </w:r>
          </w:p>
        </w:tc>
        <w:tc>
          <w:tcPr>
            <w:tcW w:w="2899"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1.道路危险货物（含放射性）运输经营者是否具备道路运输经营许可条件行业监督行政检查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2.道路危险货物（含放射性）运输经营者是否存在转让、出租道路危险货物运输许可证件等情形行业监督行政检查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3.道路危险货物（含放射性）运输经营者从事道路危险货物运输的驾驶人员、押运人员、装卸管理人员是否持有有效的从业资格证行业监督行政检查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4.道路危险货物（含放射性）运输经营者实际车辆数量是否仍然具备开业许可要求的最低车辆数行业监督行政检查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5.道路危险货物（含放射性）运输经营者是否具有符合要求的停车场地，并封闭管理行业监督行政检查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6.道路危险货物（含放射性）运输经营者车辆是否按照规定参加年度审验行业监督行政检查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7.道路危险货物（含放射性）运输经营者车辆是否按要求进行维护、检测，保持车辆技术状况良好行业监督行政检查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8.道路危险货物（含放射性）运输经营者罐式车辆罐体、可移动罐柜、罐箱是否经检验合格且未超出检验有效期行业监督行政检查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9.道路危险货物（含放射性）运输经营者是否定期对运输车辆、罐式车辆罐体、可移动罐柜、罐箱及相关设备的技术状况进行检查，有相应检查记录，且保存时限不少于2年行业监督行政检查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10.道路危险货物（含放射性）运输经营者是否按照“一车一档”建立车辆技术档案，档案内容是否齐全行业监督行政检查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11.道路危险货物（含放射性）运输经营者是否危险货物运输车辆挂靠经营行业监督行政检查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12.道路危险货物（含放射性）运输经营者是否足额配备了专职的监控人员及履职情况行业监督行政检查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p>
        </w:tc>
        <w:tc>
          <w:tcPr>
            <w:tcW w:w="1081" w:type="dxa"/>
            <w:shd w:val="clear" w:color="auto" w:fill="auto"/>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201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道路危</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险货物</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运输企</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业（包</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含燃气</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运输企</w:t>
            </w:r>
          </w:p>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业）</w:t>
            </w:r>
          </w:p>
        </w:tc>
        <w:tc>
          <w:tcPr>
            <w:tcW w:w="1250" w:type="dxa"/>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w:t>
            </w:r>
          </w:p>
        </w:tc>
        <w:tc>
          <w:tcPr>
            <w:tcW w:w="972" w:type="dxa"/>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100%</w:t>
            </w:r>
          </w:p>
        </w:tc>
        <w:tc>
          <w:tcPr>
            <w:tcW w:w="1400" w:type="dxa"/>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2026年4月到10月</w:t>
            </w:r>
          </w:p>
        </w:tc>
        <w:tc>
          <w:tcPr>
            <w:tcW w:w="1320" w:type="dxa"/>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紫金县交通运输局</w:t>
            </w:r>
          </w:p>
        </w:tc>
        <w:tc>
          <w:tcPr>
            <w:tcW w:w="171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县市场监管局</w:t>
            </w:r>
          </w:p>
          <w:p>
            <w:pPr>
              <w:widowControl/>
              <w:spacing w:line="320" w:lineRule="exact"/>
              <w:jc w:val="center"/>
              <w:rPr>
                <w:rFonts w:hint="eastAsia" w:ascii="Times New Roman" w:hAnsi="Times New Roman"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727" w:type="dxa"/>
            <w:vAlign w:val="center"/>
          </w:tcPr>
          <w:p>
            <w:pPr>
              <w:adjustRightInd w:val="0"/>
              <w:snapToGrid w:val="0"/>
              <w:jc w:val="center"/>
              <w:rPr>
                <w:rFonts w:hint="default"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14</w:t>
            </w:r>
          </w:p>
        </w:tc>
        <w:tc>
          <w:tcPr>
            <w:tcW w:w="172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农资执法检查</w:t>
            </w:r>
          </w:p>
        </w:tc>
        <w:tc>
          <w:tcPr>
            <w:tcW w:w="2899"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检查种子、化肥、农药、兽药、饲料等农资产品和农资经营情况</w:t>
            </w:r>
          </w:p>
        </w:tc>
        <w:tc>
          <w:tcPr>
            <w:tcW w:w="1081"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201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default" w:ascii="Times New Roman" w:hAnsi="Times New Roman" w:eastAsia="仿宋_GB2312" w:cs="仿宋_GB2312"/>
                <w:kern w:val="2"/>
                <w:sz w:val="24"/>
                <w:szCs w:val="24"/>
                <w:lang w:val="en-US" w:eastAsia="zh-CN" w:bidi="ar-SA"/>
              </w:rPr>
              <w:t>农资门店</w:t>
            </w:r>
          </w:p>
        </w:tc>
        <w:tc>
          <w:tcPr>
            <w:tcW w:w="125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50</w:t>
            </w:r>
          </w:p>
        </w:tc>
        <w:tc>
          <w:tcPr>
            <w:tcW w:w="972"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w:t>
            </w:r>
          </w:p>
        </w:tc>
        <w:tc>
          <w:tcPr>
            <w:tcW w:w="140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default" w:ascii="Times New Roman" w:hAnsi="Times New Roman" w:eastAsia="仿宋_GB2312" w:cs="仿宋_GB2312"/>
                <w:kern w:val="2"/>
                <w:sz w:val="24"/>
                <w:szCs w:val="24"/>
                <w:lang w:val="en-US" w:eastAsia="zh-CN" w:bidi="ar-SA"/>
              </w:rPr>
              <w:t>2026年4月-10月</w:t>
            </w:r>
          </w:p>
        </w:tc>
        <w:tc>
          <w:tcPr>
            <w:tcW w:w="132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default" w:ascii="Times New Roman" w:hAnsi="Times New Roman" w:eastAsia="仿宋_GB2312" w:cs="仿宋_GB2312"/>
                <w:kern w:val="2"/>
                <w:sz w:val="24"/>
                <w:szCs w:val="24"/>
                <w:lang w:val="en-US" w:eastAsia="zh-CN" w:bidi="ar-SA"/>
              </w:rPr>
              <w:t>紫金县农业农村局</w:t>
            </w:r>
          </w:p>
        </w:tc>
        <w:tc>
          <w:tcPr>
            <w:tcW w:w="171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727" w:type="dxa"/>
            <w:vAlign w:val="center"/>
          </w:tcPr>
          <w:p>
            <w:pPr>
              <w:adjustRightInd w:val="0"/>
              <w:snapToGrid w:val="0"/>
              <w:jc w:val="center"/>
              <w:rPr>
                <w:rFonts w:hint="default"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15</w:t>
            </w:r>
          </w:p>
        </w:tc>
        <w:tc>
          <w:tcPr>
            <w:tcW w:w="172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旅行社检查</w:t>
            </w:r>
          </w:p>
        </w:tc>
        <w:tc>
          <w:tcPr>
            <w:tcW w:w="2899"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旅行社取得许可证情况的检查，旅行社经营情况的检查</w:t>
            </w:r>
          </w:p>
        </w:tc>
        <w:tc>
          <w:tcPr>
            <w:tcW w:w="1081"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不定向</w:t>
            </w:r>
          </w:p>
        </w:tc>
        <w:tc>
          <w:tcPr>
            <w:tcW w:w="201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旅行社</w:t>
            </w:r>
          </w:p>
        </w:tc>
        <w:tc>
          <w:tcPr>
            <w:tcW w:w="125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6</w:t>
            </w:r>
          </w:p>
        </w:tc>
        <w:tc>
          <w:tcPr>
            <w:tcW w:w="972"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30%</w:t>
            </w:r>
          </w:p>
        </w:tc>
        <w:tc>
          <w:tcPr>
            <w:tcW w:w="140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2026年3月-10月</w:t>
            </w:r>
          </w:p>
        </w:tc>
        <w:tc>
          <w:tcPr>
            <w:tcW w:w="132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紫金县文化广电旅游体育局</w:t>
            </w:r>
          </w:p>
        </w:tc>
        <w:tc>
          <w:tcPr>
            <w:tcW w:w="171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727" w:type="dxa"/>
            <w:vAlign w:val="center"/>
          </w:tcPr>
          <w:p>
            <w:pPr>
              <w:adjustRightInd w:val="0"/>
              <w:snapToGrid w:val="0"/>
              <w:jc w:val="center"/>
              <w:rPr>
                <w:rFonts w:hint="default"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16</w:t>
            </w:r>
          </w:p>
        </w:tc>
        <w:tc>
          <w:tcPr>
            <w:tcW w:w="172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经营高危险性体育项目（游泳）场所监督检查</w:t>
            </w:r>
          </w:p>
        </w:tc>
        <w:tc>
          <w:tcPr>
            <w:tcW w:w="2899"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经营高危险性体育项目（游泳）场所安全管理、场馆设施、从业人员、应急处置预案等</w:t>
            </w:r>
          </w:p>
        </w:tc>
        <w:tc>
          <w:tcPr>
            <w:tcW w:w="1081"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不定向</w:t>
            </w:r>
          </w:p>
        </w:tc>
        <w:tc>
          <w:tcPr>
            <w:tcW w:w="201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全县经营高危险性体育项目（游泳）场所</w:t>
            </w:r>
          </w:p>
        </w:tc>
        <w:tc>
          <w:tcPr>
            <w:tcW w:w="125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6</w:t>
            </w:r>
          </w:p>
        </w:tc>
        <w:tc>
          <w:tcPr>
            <w:tcW w:w="972"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30%</w:t>
            </w:r>
          </w:p>
        </w:tc>
        <w:tc>
          <w:tcPr>
            <w:tcW w:w="140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2026年6月-9月</w:t>
            </w:r>
          </w:p>
        </w:tc>
        <w:tc>
          <w:tcPr>
            <w:tcW w:w="132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紫金县文化广电旅游体育局</w:t>
            </w:r>
          </w:p>
        </w:tc>
        <w:tc>
          <w:tcPr>
            <w:tcW w:w="171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727" w:type="dxa"/>
            <w:vAlign w:val="center"/>
          </w:tcPr>
          <w:p>
            <w:pPr>
              <w:adjustRightInd w:val="0"/>
              <w:snapToGrid w:val="0"/>
              <w:jc w:val="center"/>
              <w:rPr>
                <w:rFonts w:hint="default"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17</w:t>
            </w:r>
          </w:p>
        </w:tc>
        <w:tc>
          <w:tcPr>
            <w:tcW w:w="172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娱乐场所的检查</w:t>
            </w:r>
          </w:p>
        </w:tc>
        <w:tc>
          <w:tcPr>
            <w:tcW w:w="2899"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歌舞娱乐场所取得相关许可证及其他相关情况的检查</w:t>
            </w:r>
          </w:p>
        </w:tc>
        <w:tc>
          <w:tcPr>
            <w:tcW w:w="1081"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不定向</w:t>
            </w:r>
          </w:p>
        </w:tc>
        <w:tc>
          <w:tcPr>
            <w:tcW w:w="201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音乐厅、KTV</w:t>
            </w:r>
          </w:p>
        </w:tc>
        <w:tc>
          <w:tcPr>
            <w:tcW w:w="125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18</w:t>
            </w:r>
          </w:p>
        </w:tc>
        <w:tc>
          <w:tcPr>
            <w:tcW w:w="972"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10%</w:t>
            </w:r>
          </w:p>
        </w:tc>
        <w:tc>
          <w:tcPr>
            <w:tcW w:w="140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2026年3月-10月</w:t>
            </w:r>
          </w:p>
        </w:tc>
        <w:tc>
          <w:tcPr>
            <w:tcW w:w="132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紫金县文化广电旅游体育局</w:t>
            </w:r>
          </w:p>
        </w:tc>
        <w:tc>
          <w:tcPr>
            <w:tcW w:w="171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县公安局</w:t>
            </w:r>
            <w:r>
              <w:rPr>
                <w:rFonts w:hint="default" w:ascii="Times New Roman" w:hAnsi="Times New Roman" w:eastAsia="仿宋_GB2312" w:cs="仿宋_GB2312"/>
                <w:kern w:val="2"/>
                <w:sz w:val="24"/>
                <w:szCs w:val="24"/>
                <w:lang w:val="en-US" w:eastAsia="zh-CN" w:bidi="ar-SA"/>
              </w:rPr>
              <w:t>、</w:t>
            </w:r>
            <w:r>
              <w:rPr>
                <w:rFonts w:hint="eastAsia" w:ascii="Times New Roman" w:hAnsi="Times New Roman" w:eastAsia="仿宋_GB2312" w:cs="仿宋_GB2312"/>
                <w:kern w:val="2"/>
                <w:sz w:val="24"/>
                <w:szCs w:val="24"/>
                <w:lang w:val="en-US" w:eastAsia="zh-CN" w:bidi="ar-SA"/>
              </w:rPr>
              <w:t>县</w:t>
            </w:r>
            <w:r>
              <w:rPr>
                <w:rFonts w:hint="default" w:ascii="Times New Roman" w:hAnsi="Times New Roman" w:eastAsia="仿宋_GB2312" w:cs="仿宋_GB2312"/>
                <w:kern w:val="2"/>
                <w:sz w:val="24"/>
                <w:szCs w:val="24"/>
                <w:lang w:val="en-US" w:eastAsia="zh-CN" w:bidi="ar-SA"/>
              </w:rPr>
              <w:t>消防救援</w:t>
            </w:r>
            <w:r>
              <w:rPr>
                <w:rFonts w:hint="eastAsia" w:ascii="Times New Roman" w:hAnsi="Times New Roman" w:eastAsia="仿宋_GB2312" w:cs="仿宋_GB2312"/>
                <w:kern w:val="2"/>
                <w:sz w:val="24"/>
                <w:szCs w:val="24"/>
                <w:lang w:val="en-US" w:eastAsia="zh-CN" w:bidi="ar-SA"/>
              </w:rPr>
              <w:t>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727" w:type="dxa"/>
            <w:vAlign w:val="center"/>
          </w:tcPr>
          <w:p>
            <w:pPr>
              <w:adjustRightInd w:val="0"/>
              <w:snapToGrid w:val="0"/>
              <w:jc w:val="center"/>
              <w:rPr>
                <w:rFonts w:hint="default"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18</w:t>
            </w:r>
          </w:p>
        </w:tc>
        <w:tc>
          <w:tcPr>
            <w:tcW w:w="172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艺术品经营单位的检查</w:t>
            </w:r>
          </w:p>
        </w:tc>
        <w:tc>
          <w:tcPr>
            <w:tcW w:w="2899"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艺术品经营单位从事艺术品经营活动的检查，艺术品经营单位备案情况的检查</w:t>
            </w:r>
          </w:p>
        </w:tc>
        <w:tc>
          <w:tcPr>
            <w:tcW w:w="1081"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不定向</w:t>
            </w:r>
          </w:p>
        </w:tc>
        <w:tc>
          <w:tcPr>
            <w:tcW w:w="201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艺术品经营单位</w:t>
            </w:r>
          </w:p>
        </w:tc>
        <w:tc>
          <w:tcPr>
            <w:tcW w:w="125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w:t>
            </w:r>
          </w:p>
        </w:tc>
        <w:tc>
          <w:tcPr>
            <w:tcW w:w="972"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50%</w:t>
            </w:r>
          </w:p>
        </w:tc>
        <w:tc>
          <w:tcPr>
            <w:tcW w:w="140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2026年3月-10月</w:t>
            </w:r>
          </w:p>
        </w:tc>
        <w:tc>
          <w:tcPr>
            <w:tcW w:w="132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紫金县文化广电旅游体育局</w:t>
            </w:r>
          </w:p>
        </w:tc>
        <w:tc>
          <w:tcPr>
            <w:tcW w:w="171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727" w:type="dxa"/>
            <w:vAlign w:val="center"/>
          </w:tcPr>
          <w:p>
            <w:pPr>
              <w:adjustRightInd w:val="0"/>
              <w:snapToGrid w:val="0"/>
              <w:jc w:val="center"/>
              <w:rPr>
                <w:rFonts w:hint="default"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19</w:t>
            </w:r>
          </w:p>
        </w:tc>
        <w:tc>
          <w:tcPr>
            <w:tcW w:w="172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烟花爆竹批发企业安全生产检查</w:t>
            </w:r>
          </w:p>
        </w:tc>
        <w:tc>
          <w:tcPr>
            <w:tcW w:w="2899"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烟花爆竹仓库安全生产、配送、防雷等情况</w:t>
            </w:r>
          </w:p>
        </w:tc>
        <w:tc>
          <w:tcPr>
            <w:tcW w:w="1081"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201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烟花爆竹批发企业（带仓库）</w:t>
            </w:r>
          </w:p>
        </w:tc>
        <w:tc>
          <w:tcPr>
            <w:tcW w:w="125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w:t>
            </w:r>
          </w:p>
        </w:tc>
        <w:tc>
          <w:tcPr>
            <w:tcW w:w="972"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100%</w:t>
            </w:r>
          </w:p>
        </w:tc>
        <w:tc>
          <w:tcPr>
            <w:tcW w:w="140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10月31日前</w:t>
            </w:r>
          </w:p>
        </w:tc>
        <w:tc>
          <w:tcPr>
            <w:tcW w:w="132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紫金县应急管理局</w:t>
            </w:r>
          </w:p>
        </w:tc>
        <w:tc>
          <w:tcPr>
            <w:tcW w:w="171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县公安局、县气象局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727" w:type="dxa"/>
            <w:vAlign w:val="center"/>
          </w:tcPr>
          <w:p>
            <w:pPr>
              <w:adjustRightInd w:val="0"/>
              <w:snapToGrid w:val="0"/>
              <w:jc w:val="center"/>
              <w:rPr>
                <w:rFonts w:hint="default"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20</w:t>
            </w:r>
          </w:p>
        </w:tc>
        <w:tc>
          <w:tcPr>
            <w:tcW w:w="172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统计执法检查</w:t>
            </w:r>
          </w:p>
        </w:tc>
        <w:tc>
          <w:tcPr>
            <w:tcW w:w="2899"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统计调查对象依法设置原始记录、统计台账情况</w:t>
            </w:r>
          </w:p>
        </w:tc>
        <w:tc>
          <w:tcPr>
            <w:tcW w:w="1081"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201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全县统计调查对象</w:t>
            </w:r>
          </w:p>
        </w:tc>
        <w:tc>
          <w:tcPr>
            <w:tcW w:w="125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以市统计局下发数量为准</w:t>
            </w:r>
          </w:p>
        </w:tc>
        <w:tc>
          <w:tcPr>
            <w:tcW w:w="972"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以市统计局下发数量为准</w:t>
            </w:r>
          </w:p>
        </w:tc>
        <w:tc>
          <w:tcPr>
            <w:tcW w:w="140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2026年8-12月</w:t>
            </w:r>
          </w:p>
        </w:tc>
        <w:tc>
          <w:tcPr>
            <w:tcW w:w="132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紫金县统计局</w:t>
            </w:r>
          </w:p>
        </w:tc>
        <w:tc>
          <w:tcPr>
            <w:tcW w:w="171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727" w:type="dxa"/>
            <w:vAlign w:val="center"/>
          </w:tcPr>
          <w:p>
            <w:pPr>
              <w:adjustRightInd w:val="0"/>
              <w:snapToGrid w:val="0"/>
              <w:jc w:val="center"/>
              <w:rPr>
                <w:rFonts w:hint="default"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21</w:t>
            </w:r>
          </w:p>
        </w:tc>
        <w:tc>
          <w:tcPr>
            <w:tcW w:w="172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消防安全检查</w:t>
            </w:r>
          </w:p>
        </w:tc>
        <w:tc>
          <w:tcPr>
            <w:tcW w:w="2899"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消防产品质量监督抽查</w:t>
            </w:r>
          </w:p>
        </w:tc>
        <w:tc>
          <w:tcPr>
            <w:tcW w:w="1081"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201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机关、团体、企业、事业等单位</w:t>
            </w:r>
          </w:p>
        </w:tc>
        <w:tc>
          <w:tcPr>
            <w:tcW w:w="125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w:t>
            </w:r>
          </w:p>
        </w:tc>
        <w:tc>
          <w:tcPr>
            <w:tcW w:w="972"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100</w:t>
            </w:r>
          </w:p>
        </w:tc>
        <w:tc>
          <w:tcPr>
            <w:tcW w:w="140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2026年3-6月</w:t>
            </w:r>
          </w:p>
        </w:tc>
        <w:tc>
          <w:tcPr>
            <w:tcW w:w="132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紫金县消防救援大队</w:t>
            </w:r>
          </w:p>
        </w:tc>
        <w:tc>
          <w:tcPr>
            <w:tcW w:w="171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727" w:type="dxa"/>
            <w:vAlign w:val="center"/>
          </w:tcPr>
          <w:p>
            <w:pPr>
              <w:adjustRightInd w:val="0"/>
              <w:snapToGrid w:val="0"/>
              <w:jc w:val="center"/>
              <w:rPr>
                <w:rFonts w:hint="default"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22</w:t>
            </w:r>
          </w:p>
        </w:tc>
        <w:tc>
          <w:tcPr>
            <w:tcW w:w="172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卷烟零售市场监督检查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p>
        </w:tc>
        <w:tc>
          <w:tcPr>
            <w:tcW w:w="2899"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是否持有烟草专卖零售许可证；是否无证经营、违法违规经营卷烟</w:t>
            </w:r>
          </w:p>
        </w:tc>
        <w:tc>
          <w:tcPr>
            <w:tcW w:w="1081"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不定向</w:t>
            </w:r>
          </w:p>
        </w:tc>
        <w:tc>
          <w:tcPr>
            <w:tcW w:w="201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紫金县卷烟零售户</w:t>
            </w:r>
          </w:p>
        </w:tc>
        <w:tc>
          <w:tcPr>
            <w:tcW w:w="125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64</w:t>
            </w:r>
          </w:p>
        </w:tc>
        <w:tc>
          <w:tcPr>
            <w:tcW w:w="972"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18%</w:t>
            </w:r>
          </w:p>
        </w:tc>
        <w:tc>
          <w:tcPr>
            <w:tcW w:w="140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4-10月</w:t>
            </w:r>
          </w:p>
        </w:tc>
        <w:tc>
          <w:tcPr>
            <w:tcW w:w="132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紫金县烟草专卖局</w:t>
            </w:r>
          </w:p>
        </w:tc>
        <w:tc>
          <w:tcPr>
            <w:tcW w:w="171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jc w:val="center"/>
        </w:trPr>
        <w:tc>
          <w:tcPr>
            <w:tcW w:w="727" w:type="dxa"/>
            <w:vAlign w:val="top"/>
          </w:tcPr>
          <w:p>
            <w:pPr>
              <w:adjustRightInd w:val="0"/>
              <w:snapToGrid w:val="0"/>
              <w:jc w:val="center"/>
              <w:rPr>
                <w:rFonts w:hint="eastAsia" w:ascii="Times New Roman" w:hAnsi="Times New Roman" w:eastAsia="仿宋_GB2312" w:cs="仿宋_GB2312"/>
                <w:sz w:val="21"/>
                <w:szCs w:val="21"/>
                <w:lang w:val="en-US" w:eastAsia="zh-CN"/>
              </w:rPr>
            </w:pPr>
          </w:p>
          <w:p>
            <w:pPr>
              <w:adjustRightInd w:val="0"/>
              <w:snapToGrid w:val="0"/>
              <w:jc w:val="center"/>
              <w:rPr>
                <w:rFonts w:hint="eastAsia" w:ascii="Times New Roman" w:hAnsi="Times New Roman" w:eastAsia="仿宋_GB2312" w:cs="仿宋_GB2312"/>
                <w:sz w:val="21"/>
                <w:szCs w:val="21"/>
                <w:lang w:val="en-US" w:eastAsia="zh-CN"/>
              </w:rPr>
            </w:pPr>
          </w:p>
          <w:p>
            <w:pPr>
              <w:adjustRightInd w:val="0"/>
              <w:snapToGrid w:val="0"/>
              <w:jc w:val="center"/>
              <w:rPr>
                <w:rFonts w:hint="eastAsia" w:ascii="Times New Roman" w:hAnsi="Times New Roman" w:eastAsia="仿宋_GB2312" w:cs="仿宋_GB2312"/>
                <w:sz w:val="21"/>
                <w:szCs w:val="21"/>
                <w:lang w:val="en-US" w:eastAsia="zh-CN"/>
              </w:rPr>
            </w:pPr>
          </w:p>
          <w:p>
            <w:pPr>
              <w:adjustRightInd w:val="0"/>
              <w:snapToGrid w:val="0"/>
              <w:jc w:val="center"/>
              <w:rPr>
                <w:rFonts w:hint="default"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23</w:t>
            </w:r>
          </w:p>
        </w:tc>
        <w:tc>
          <w:tcPr>
            <w:tcW w:w="1728" w:type="dxa"/>
            <w:vAlign w:val="top"/>
          </w:tcPr>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对气象灾害防御</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重点单位监管和</w:t>
            </w:r>
          </w:p>
          <w:p>
            <w:pPr>
              <w:widowControl/>
              <w:spacing w:line="320" w:lineRule="exact"/>
              <w:jc w:val="center"/>
              <w:rPr>
                <w:rFonts w:hint="eastAsia" w:ascii="Times New Roman" w:hAnsi="Times New Roman" w:eastAsia="仿宋_GB2312" w:cs="仿宋_GB2312"/>
                <w:kern w:val="2"/>
                <w:sz w:val="24"/>
                <w:szCs w:val="24"/>
                <w:lang w:val="en-US" w:eastAsia="en-US" w:bidi="ar-SA"/>
              </w:rPr>
            </w:pPr>
            <w:r>
              <w:rPr>
                <w:rFonts w:hint="eastAsia" w:ascii="Times New Roman" w:hAnsi="Times New Roman" w:eastAsia="仿宋_GB2312" w:cs="仿宋_GB2312"/>
                <w:kern w:val="2"/>
                <w:sz w:val="24"/>
                <w:szCs w:val="24"/>
                <w:lang w:val="en-US" w:eastAsia="zh-CN" w:bidi="ar-SA"/>
              </w:rPr>
              <w:t>服务</w:t>
            </w:r>
          </w:p>
        </w:tc>
        <w:tc>
          <w:tcPr>
            <w:tcW w:w="2899" w:type="dxa"/>
            <w:vAlign w:val="top"/>
          </w:tcPr>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en-US" w:bidi="ar-SA"/>
              </w:rPr>
            </w:pPr>
            <w:r>
              <w:rPr>
                <w:rFonts w:hint="eastAsia" w:ascii="Times New Roman" w:hAnsi="Times New Roman" w:eastAsia="仿宋_GB2312" w:cs="仿宋_GB2312"/>
                <w:kern w:val="2"/>
                <w:sz w:val="24"/>
                <w:szCs w:val="24"/>
                <w:lang w:val="en-US" w:eastAsia="zh-CN" w:bidi="ar-SA"/>
              </w:rPr>
              <w:t>对气象灾害防御重点单位 监管和服务</w:t>
            </w:r>
          </w:p>
        </w:tc>
        <w:tc>
          <w:tcPr>
            <w:tcW w:w="1081" w:type="dxa"/>
            <w:vAlign w:val="top"/>
          </w:tcPr>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en-US" w:bidi="ar-SA"/>
              </w:rPr>
            </w:pPr>
            <w:r>
              <w:rPr>
                <w:rFonts w:hint="eastAsia" w:ascii="Times New Roman" w:hAnsi="Times New Roman" w:eastAsia="仿宋_GB2312" w:cs="仿宋_GB2312"/>
                <w:kern w:val="2"/>
                <w:sz w:val="24"/>
                <w:szCs w:val="24"/>
                <w:lang w:val="en-US" w:eastAsia="zh-CN" w:bidi="ar-SA"/>
              </w:rPr>
              <w:t>定向</w:t>
            </w:r>
          </w:p>
        </w:tc>
        <w:tc>
          <w:tcPr>
            <w:tcW w:w="2018" w:type="dxa"/>
            <w:vAlign w:val="top"/>
          </w:tcPr>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en-US" w:bidi="ar-SA"/>
              </w:rPr>
            </w:pPr>
            <w:r>
              <w:rPr>
                <w:rFonts w:hint="eastAsia" w:ascii="Times New Roman" w:hAnsi="Times New Roman" w:eastAsia="仿宋_GB2312" w:cs="仿宋_GB2312"/>
                <w:kern w:val="2"/>
                <w:sz w:val="24"/>
                <w:szCs w:val="24"/>
                <w:lang w:val="en-US" w:eastAsia="zh-CN" w:bidi="ar-SA"/>
              </w:rPr>
              <w:t>紫金县燃气经营主体</w:t>
            </w:r>
          </w:p>
        </w:tc>
        <w:tc>
          <w:tcPr>
            <w:tcW w:w="1250" w:type="dxa"/>
            <w:vAlign w:val="top"/>
          </w:tcPr>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en-US" w:bidi="ar-SA"/>
              </w:rPr>
            </w:pPr>
            <w:r>
              <w:rPr>
                <w:rFonts w:hint="eastAsia" w:ascii="Times New Roman" w:hAnsi="Times New Roman" w:eastAsia="仿宋_GB2312" w:cs="仿宋_GB2312"/>
                <w:kern w:val="2"/>
                <w:sz w:val="24"/>
                <w:szCs w:val="24"/>
                <w:lang w:val="en-US" w:eastAsia="zh-CN" w:bidi="ar-SA"/>
              </w:rPr>
              <w:t>7</w:t>
            </w:r>
          </w:p>
        </w:tc>
        <w:tc>
          <w:tcPr>
            <w:tcW w:w="972" w:type="dxa"/>
            <w:vAlign w:val="top"/>
          </w:tcPr>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en-US" w:bidi="ar-SA"/>
              </w:rPr>
            </w:pPr>
            <w:r>
              <w:rPr>
                <w:rFonts w:hint="eastAsia" w:ascii="Times New Roman" w:hAnsi="Times New Roman" w:eastAsia="仿宋_GB2312" w:cs="仿宋_GB2312"/>
                <w:kern w:val="2"/>
                <w:sz w:val="24"/>
                <w:szCs w:val="24"/>
                <w:lang w:val="en-US" w:eastAsia="zh-CN" w:bidi="ar-SA"/>
              </w:rPr>
              <w:t>40%</w:t>
            </w:r>
          </w:p>
        </w:tc>
        <w:tc>
          <w:tcPr>
            <w:tcW w:w="1400" w:type="dxa"/>
            <w:vAlign w:val="top"/>
          </w:tcPr>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2026年5月</w:t>
            </w:r>
          </w:p>
          <w:p>
            <w:pPr>
              <w:widowControl/>
              <w:spacing w:line="320" w:lineRule="exact"/>
              <w:jc w:val="center"/>
              <w:rPr>
                <w:rFonts w:hint="eastAsia" w:ascii="Times New Roman" w:hAnsi="Times New Roman" w:eastAsia="仿宋_GB2312" w:cs="仿宋_GB2312"/>
                <w:kern w:val="2"/>
                <w:sz w:val="24"/>
                <w:szCs w:val="24"/>
                <w:lang w:val="en-US" w:eastAsia="en-US" w:bidi="ar-SA"/>
              </w:rPr>
            </w:pPr>
            <w:r>
              <w:rPr>
                <w:rFonts w:hint="eastAsia" w:ascii="Times New Roman" w:hAnsi="Times New Roman" w:eastAsia="仿宋_GB2312" w:cs="仿宋_GB2312"/>
                <w:kern w:val="2"/>
                <w:sz w:val="24"/>
                <w:szCs w:val="24"/>
                <w:lang w:val="en-US" w:eastAsia="zh-CN" w:bidi="ar-SA"/>
              </w:rPr>
              <w:t>-2026年10 月</w:t>
            </w:r>
          </w:p>
        </w:tc>
        <w:tc>
          <w:tcPr>
            <w:tcW w:w="1320" w:type="dxa"/>
            <w:vAlign w:val="top"/>
          </w:tcPr>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en-US" w:bidi="ar-SA"/>
              </w:rPr>
            </w:pPr>
            <w:r>
              <w:rPr>
                <w:rFonts w:hint="eastAsia" w:ascii="Times New Roman" w:hAnsi="Times New Roman" w:eastAsia="仿宋_GB2312" w:cs="仿宋_GB2312"/>
                <w:kern w:val="2"/>
                <w:sz w:val="24"/>
                <w:szCs w:val="24"/>
                <w:lang w:val="en-US" w:eastAsia="zh-CN" w:bidi="ar-SA"/>
              </w:rPr>
              <w:t>紫金县气象局</w:t>
            </w:r>
          </w:p>
        </w:tc>
        <w:tc>
          <w:tcPr>
            <w:tcW w:w="1710" w:type="dxa"/>
            <w:vAlign w:val="top"/>
          </w:tcPr>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en-US" w:bidi="ar-SA"/>
              </w:rPr>
            </w:pPr>
            <w:r>
              <w:rPr>
                <w:rFonts w:hint="eastAsia" w:ascii="Times New Roman" w:hAnsi="Times New Roman" w:eastAsia="仿宋_GB2312" w:cs="仿宋_GB2312"/>
                <w:kern w:val="2"/>
                <w:sz w:val="24"/>
                <w:szCs w:val="24"/>
                <w:lang w:val="en-US" w:eastAsia="zh-CN" w:bidi="ar-SA"/>
              </w:rPr>
              <w:t>县消防救援局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6" w:hRule="atLeast"/>
          <w:jc w:val="center"/>
        </w:trPr>
        <w:tc>
          <w:tcPr>
            <w:tcW w:w="727" w:type="dxa"/>
            <w:vAlign w:val="center"/>
          </w:tcPr>
          <w:p>
            <w:pPr>
              <w:adjustRightInd w:val="0"/>
              <w:snapToGrid w:val="0"/>
              <w:jc w:val="center"/>
              <w:rPr>
                <w:rFonts w:hint="default"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24</w:t>
            </w:r>
          </w:p>
        </w:tc>
        <w:tc>
          <w:tcPr>
            <w:tcW w:w="172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2026年度机动车销售企业监管监督检查</w:t>
            </w:r>
          </w:p>
        </w:tc>
        <w:tc>
          <w:tcPr>
            <w:tcW w:w="2899"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机动车获得强制性产品认证情况检查</w:t>
            </w:r>
          </w:p>
        </w:tc>
        <w:tc>
          <w:tcPr>
            <w:tcW w:w="1081"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201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机动车销售企业</w:t>
            </w:r>
          </w:p>
        </w:tc>
        <w:tc>
          <w:tcPr>
            <w:tcW w:w="125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4家</w:t>
            </w:r>
          </w:p>
        </w:tc>
        <w:tc>
          <w:tcPr>
            <w:tcW w:w="972"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w:t>
            </w:r>
          </w:p>
        </w:tc>
        <w:tc>
          <w:tcPr>
            <w:tcW w:w="140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2026年3-12月</w:t>
            </w:r>
          </w:p>
        </w:tc>
        <w:tc>
          <w:tcPr>
            <w:tcW w:w="132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紫金县市场监管局</w:t>
            </w:r>
          </w:p>
        </w:tc>
        <w:tc>
          <w:tcPr>
            <w:tcW w:w="171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县工商信局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7" w:type="dxa"/>
            <w:vAlign w:val="center"/>
          </w:tcPr>
          <w:p>
            <w:pPr>
              <w:adjustRightInd w:val="0"/>
              <w:snapToGrid w:val="0"/>
              <w:jc w:val="center"/>
              <w:rPr>
                <w:rFonts w:hint="default"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25</w:t>
            </w:r>
          </w:p>
        </w:tc>
        <w:tc>
          <w:tcPr>
            <w:tcW w:w="172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企业不定向抽查</w:t>
            </w:r>
          </w:p>
        </w:tc>
        <w:tc>
          <w:tcPr>
            <w:tcW w:w="2899"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企业登记事项、公示信息两大抽查类别检查（含年度报告公示情况）</w:t>
            </w:r>
          </w:p>
        </w:tc>
        <w:tc>
          <w:tcPr>
            <w:tcW w:w="1081"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不定向</w:t>
            </w:r>
          </w:p>
        </w:tc>
        <w:tc>
          <w:tcPr>
            <w:tcW w:w="201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2025年度年报的企业</w:t>
            </w:r>
          </w:p>
        </w:tc>
        <w:tc>
          <w:tcPr>
            <w:tcW w:w="125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国家企业信用信息公示系统（广东）统计的企业数量</w:t>
            </w:r>
          </w:p>
        </w:tc>
        <w:tc>
          <w:tcPr>
            <w:tcW w:w="972"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w:t>
            </w:r>
          </w:p>
        </w:tc>
        <w:tc>
          <w:tcPr>
            <w:tcW w:w="140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2026年10月31日前</w:t>
            </w:r>
          </w:p>
        </w:tc>
        <w:tc>
          <w:tcPr>
            <w:tcW w:w="132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紫金县市场监管局</w:t>
            </w:r>
          </w:p>
        </w:tc>
        <w:tc>
          <w:tcPr>
            <w:tcW w:w="171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县人力资源社会保障局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4" w:hRule="atLeast"/>
          <w:jc w:val="center"/>
        </w:trPr>
        <w:tc>
          <w:tcPr>
            <w:tcW w:w="727" w:type="dxa"/>
            <w:vAlign w:val="center"/>
          </w:tcPr>
          <w:p>
            <w:pPr>
              <w:adjustRightInd w:val="0"/>
              <w:snapToGrid w:val="0"/>
              <w:jc w:val="center"/>
              <w:rPr>
                <w:rFonts w:hint="default"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26</w:t>
            </w:r>
          </w:p>
        </w:tc>
        <w:tc>
          <w:tcPr>
            <w:tcW w:w="172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紫金县学校食堂食品安全监督检查</w:t>
            </w:r>
          </w:p>
        </w:tc>
        <w:tc>
          <w:tcPr>
            <w:tcW w:w="2899"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对食品经营主体资格、食 品安全制度落实情况、餐 饮操作规范和《食品安全 国家标准 餐饮服务通用 卫生规范》（GB31654-2021）落实情况等进行检查</w:t>
            </w:r>
          </w:p>
        </w:tc>
        <w:tc>
          <w:tcPr>
            <w:tcW w:w="1081"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201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全县学校食堂</w:t>
            </w:r>
          </w:p>
        </w:tc>
        <w:tc>
          <w:tcPr>
            <w:tcW w:w="125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123家</w:t>
            </w:r>
          </w:p>
        </w:tc>
        <w:tc>
          <w:tcPr>
            <w:tcW w:w="972"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w:t>
            </w:r>
          </w:p>
        </w:tc>
        <w:tc>
          <w:tcPr>
            <w:tcW w:w="140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2026年4月-11月</w:t>
            </w:r>
          </w:p>
        </w:tc>
        <w:tc>
          <w:tcPr>
            <w:tcW w:w="132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紫金县市场监管局</w:t>
            </w:r>
          </w:p>
        </w:tc>
        <w:tc>
          <w:tcPr>
            <w:tcW w:w="171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6" w:hRule="atLeast"/>
          <w:jc w:val="center"/>
        </w:trPr>
        <w:tc>
          <w:tcPr>
            <w:tcW w:w="727" w:type="dxa"/>
            <w:vAlign w:val="center"/>
          </w:tcPr>
          <w:p>
            <w:pPr>
              <w:adjustRightInd w:val="0"/>
              <w:snapToGrid w:val="0"/>
              <w:jc w:val="center"/>
              <w:rPr>
                <w:rFonts w:hint="default"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27</w:t>
            </w:r>
          </w:p>
        </w:tc>
        <w:tc>
          <w:tcPr>
            <w:tcW w:w="172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影剧院、录像厅（室）、游艺厅（室）、舞厅、音乐厅抽查</w:t>
            </w:r>
          </w:p>
        </w:tc>
        <w:tc>
          <w:tcPr>
            <w:tcW w:w="2899"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对影剧院、录像厅（室）、游艺厅（室）、舞厅、音乐厅卫生状况及卫生制度的检查。抽查卫生设施的配备运行情况、卫生检测落实情况、人员机构持证情况等。</w:t>
            </w:r>
          </w:p>
        </w:tc>
        <w:tc>
          <w:tcPr>
            <w:tcW w:w="1081"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tc>
        <w:tc>
          <w:tcPr>
            <w:tcW w:w="201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各类影剧院、录像厅（室）、游艺厅（室）、舞厅、音乐厅。</w:t>
            </w:r>
          </w:p>
        </w:tc>
        <w:tc>
          <w:tcPr>
            <w:tcW w:w="125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由国家卫健委统一在卫生监督系统抽取确定。</w:t>
            </w:r>
          </w:p>
        </w:tc>
        <w:tc>
          <w:tcPr>
            <w:tcW w:w="972"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由国家卫健委统一在卫生监督系统抽取确定。</w:t>
            </w:r>
          </w:p>
        </w:tc>
        <w:tc>
          <w:tcPr>
            <w:tcW w:w="140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2026年5—12月</w:t>
            </w:r>
          </w:p>
        </w:tc>
        <w:tc>
          <w:tcPr>
            <w:tcW w:w="132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紫金县卫生健康局</w:t>
            </w:r>
          </w:p>
        </w:tc>
        <w:tc>
          <w:tcPr>
            <w:tcW w:w="171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1" w:hRule="atLeast"/>
          <w:jc w:val="center"/>
        </w:trPr>
        <w:tc>
          <w:tcPr>
            <w:tcW w:w="727" w:type="dxa"/>
            <w:vAlign w:val="center"/>
          </w:tcPr>
          <w:p>
            <w:pPr>
              <w:adjustRightInd w:val="0"/>
              <w:snapToGrid w:val="0"/>
              <w:jc w:val="center"/>
              <w:rPr>
                <w:rFonts w:hint="default"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28</w:t>
            </w:r>
          </w:p>
        </w:tc>
        <w:tc>
          <w:tcPr>
            <w:tcW w:w="172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宾馆、旅店监督抽查</w:t>
            </w:r>
          </w:p>
        </w:tc>
        <w:tc>
          <w:tcPr>
            <w:tcW w:w="2899"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对宾馆、旅店卫生情况的检查。抽查卫生设施的配备运行情况、</w:t>
            </w:r>
            <w:bookmarkStart w:id="0" w:name="_GoBack"/>
            <w:bookmarkEnd w:id="0"/>
            <w:r>
              <w:rPr>
                <w:rFonts w:hint="eastAsia" w:ascii="Times New Roman" w:hAnsi="Times New Roman" w:eastAsia="仿宋_GB2312" w:cs="仿宋_GB2312"/>
                <w:kern w:val="2"/>
                <w:sz w:val="24"/>
                <w:szCs w:val="24"/>
                <w:lang w:val="en-US" w:eastAsia="zh-CN" w:bidi="ar-SA"/>
              </w:rPr>
              <w:t>卫生检测落实情况、人员机构持证情况等。</w:t>
            </w:r>
          </w:p>
        </w:tc>
        <w:tc>
          <w:tcPr>
            <w:tcW w:w="1081"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2018"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各类旅馆、旅店。</w:t>
            </w:r>
          </w:p>
        </w:tc>
        <w:tc>
          <w:tcPr>
            <w:tcW w:w="125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由国家卫健委统一在卫生监督系统抽取确定。</w:t>
            </w:r>
          </w:p>
        </w:tc>
        <w:tc>
          <w:tcPr>
            <w:tcW w:w="972"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由国家卫健委统一在卫生监督系统抽取确定。</w:t>
            </w:r>
          </w:p>
        </w:tc>
        <w:tc>
          <w:tcPr>
            <w:tcW w:w="140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2026年5—12月</w:t>
            </w:r>
          </w:p>
        </w:tc>
        <w:tc>
          <w:tcPr>
            <w:tcW w:w="132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紫金县卫生健康局</w:t>
            </w:r>
          </w:p>
        </w:tc>
        <w:tc>
          <w:tcPr>
            <w:tcW w:w="1710" w:type="dxa"/>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县市场监管局</w:t>
            </w:r>
          </w:p>
        </w:tc>
      </w:tr>
    </w:tbl>
    <w:p>
      <w:pPr>
        <w:rPr>
          <w:sz w:val="28"/>
          <w:szCs w:val="28"/>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20</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YNLQrRAQAAogMAAA4AAAAAAAAAAQAgAAAAHgEAAGRy&#10;cy9lMm9Eb2MueG1sUEsFBgAAAAAGAAYAWQEAAGE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20</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yMTAxZDZlYWE4NDgwMTJhZDlkYWU1NjkzOGZjYjAifQ=="/>
  </w:docVars>
  <w:rsids>
    <w:rsidRoot w:val="04B957D1"/>
    <w:rsid w:val="0039276B"/>
    <w:rsid w:val="04021749"/>
    <w:rsid w:val="04B957D1"/>
    <w:rsid w:val="075E3268"/>
    <w:rsid w:val="07B35CE9"/>
    <w:rsid w:val="080323CB"/>
    <w:rsid w:val="0ADB1EE6"/>
    <w:rsid w:val="0C3D141C"/>
    <w:rsid w:val="12F85CAD"/>
    <w:rsid w:val="144C30DB"/>
    <w:rsid w:val="196F0C3C"/>
    <w:rsid w:val="1A3F5EB1"/>
    <w:rsid w:val="1B7A59A1"/>
    <w:rsid w:val="1BE31B4D"/>
    <w:rsid w:val="1D081E29"/>
    <w:rsid w:val="1EAD50CB"/>
    <w:rsid w:val="205F3D25"/>
    <w:rsid w:val="217414EF"/>
    <w:rsid w:val="21964095"/>
    <w:rsid w:val="22193154"/>
    <w:rsid w:val="232474D6"/>
    <w:rsid w:val="24281CA8"/>
    <w:rsid w:val="260A5775"/>
    <w:rsid w:val="27700540"/>
    <w:rsid w:val="28655BF4"/>
    <w:rsid w:val="292A40FB"/>
    <w:rsid w:val="2A30221D"/>
    <w:rsid w:val="2ACA60C4"/>
    <w:rsid w:val="2AFB11C4"/>
    <w:rsid w:val="2B45448D"/>
    <w:rsid w:val="2B7B3A0B"/>
    <w:rsid w:val="2BE27A8A"/>
    <w:rsid w:val="2C567FC4"/>
    <w:rsid w:val="2E151FA8"/>
    <w:rsid w:val="303D12E1"/>
    <w:rsid w:val="3095731D"/>
    <w:rsid w:val="33291CF2"/>
    <w:rsid w:val="33CD2241"/>
    <w:rsid w:val="34B20B82"/>
    <w:rsid w:val="34F37BAA"/>
    <w:rsid w:val="37EC6D92"/>
    <w:rsid w:val="3D4A275B"/>
    <w:rsid w:val="3E8B7BAD"/>
    <w:rsid w:val="3FD23C8E"/>
    <w:rsid w:val="414B70CE"/>
    <w:rsid w:val="415D5C35"/>
    <w:rsid w:val="42E17B48"/>
    <w:rsid w:val="43251536"/>
    <w:rsid w:val="44C304A5"/>
    <w:rsid w:val="451F3201"/>
    <w:rsid w:val="45511B49"/>
    <w:rsid w:val="45594681"/>
    <w:rsid w:val="465142F8"/>
    <w:rsid w:val="48803645"/>
    <w:rsid w:val="49085D80"/>
    <w:rsid w:val="4A39706F"/>
    <w:rsid w:val="4C3C4EC3"/>
    <w:rsid w:val="4CC84B86"/>
    <w:rsid w:val="4D4174BA"/>
    <w:rsid w:val="4E211C42"/>
    <w:rsid w:val="4FD34B07"/>
    <w:rsid w:val="50E4627D"/>
    <w:rsid w:val="52B82052"/>
    <w:rsid w:val="53BD34BC"/>
    <w:rsid w:val="55EB160A"/>
    <w:rsid w:val="56007073"/>
    <w:rsid w:val="578E7032"/>
    <w:rsid w:val="5C3B1CA7"/>
    <w:rsid w:val="5FB16619"/>
    <w:rsid w:val="5FFC3909"/>
    <w:rsid w:val="60104B28"/>
    <w:rsid w:val="607522CE"/>
    <w:rsid w:val="609E0F14"/>
    <w:rsid w:val="61D04B09"/>
    <w:rsid w:val="660B3B79"/>
    <w:rsid w:val="6618760C"/>
    <w:rsid w:val="66FF570B"/>
    <w:rsid w:val="69675B09"/>
    <w:rsid w:val="69A91168"/>
    <w:rsid w:val="69B225B2"/>
    <w:rsid w:val="6BB36CC8"/>
    <w:rsid w:val="6D8A12B0"/>
    <w:rsid w:val="6D934609"/>
    <w:rsid w:val="6EB10C80"/>
    <w:rsid w:val="6EF8049C"/>
    <w:rsid w:val="70231149"/>
    <w:rsid w:val="710E357B"/>
    <w:rsid w:val="72161365"/>
    <w:rsid w:val="721F3278"/>
    <w:rsid w:val="732D4BB8"/>
    <w:rsid w:val="73334198"/>
    <w:rsid w:val="75D40A3E"/>
    <w:rsid w:val="76426BCC"/>
    <w:rsid w:val="76C24049"/>
    <w:rsid w:val="79A3351B"/>
    <w:rsid w:val="79D85F74"/>
    <w:rsid w:val="7A2F7467"/>
    <w:rsid w:val="7A4E5D2B"/>
    <w:rsid w:val="7CFD384D"/>
    <w:rsid w:val="7EC47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Body Text First Indent 2"/>
    <w:basedOn w:val="2"/>
    <w:next w:val="1"/>
    <w:qFormat/>
    <w:uiPriority w:val="0"/>
    <w:pPr>
      <w:ind w:firstLine="420" w:firstLineChars="200"/>
    </w:pPr>
  </w:style>
  <w:style w:type="paragraph" w:customStyle="1" w:styleId="7">
    <w:name w:val="_Style 5"/>
    <w:basedOn w:val="1"/>
    <w:qFormat/>
    <w:uiPriority w:val="0"/>
    <w:pPr>
      <w:ind w:firstLine="200" w:firstLineChars="200"/>
    </w:pPr>
    <w:rPr>
      <w:rFonts w:ascii="Times New Roman" w:hAnsi="Times New Roman" w:eastAsia="宋体" w:cs="Times New Roman"/>
      <w:sz w:val="24"/>
    </w:rPr>
  </w:style>
  <w:style w:type="character" w:customStyle="1" w:styleId="8">
    <w:name w:val="font11"/>
    <w:basedOn w:val="6"/>
    <w:qFormat/>
    <w:uiPriority w:val="0"/>
    <w:rPr>
      <w:rFonts w:ascii="宋体" w:hAnsi="宋体" w:eastAsia="宋体" w:cs="宋体"/>
      <w:b/>
      <w:color w:val="000000"/>
      <w:sz w:val="20"/>
      <w:szCs w:val="20"/>
      <w:u w:val="none"/>
    </w:rPr>
  </w:style>
  <w:style w:type="character" w:customStyle="1" w:styleId="9">
    <w:name w:val="font01"/>
    <w:basedOn w:val="6"/>
    <w:qFormat/>
    <w:uiPriority w:val="0"/>
    <w:rPr>
      <w:rFonts w:ascii="宋体" w:hAnsi="宋体" w:eastAsia="宋体" w:cs="宋体"/>
      <w:color w:val="000000"/>
      <w:sz w:val="20"/>
      <w:szCs w:val="20"/>
      <w:u w:val="none"/>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河源市工商局</Company>
  <Pages>2</Pages>
  <Words>521</Words>
  <Characters>540</Characters>
  <Lines>0</Lines>
  <Paragraphs>0</Paragraphs>
  <TotalTime>1</TotalTime>
  <ScaleCrop>false</ScaleCrop>
  <LinksUpToDate>false</LinksUpToDate>
  <CharactersWithSpaces>582</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2022-02-22T07:46:00Z</dcterms:created>
  <dc:creator>陈辉煌</dc:creator>
  <cp:lastModifiedBy>袁雄杰</cp:lastModifiedBy>
  <cp:lastPrinted>2026-04-03T08:17:00Z</cp:lastPrinted>
  <dcterms:modified xsi:type="dcterms:W3CDTF">2026-04-28T02:41:01Z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FC5DB88359B04BACB57514176898754A</vt:lpwstr>
  </property>
  <property fmtid="{D5CDD505-2E9C-101B-9397-08002B2CF9AE}" pid="4" name="KSOTemplateDocerSaveRecord">
    <vt:lpwstr>eyJoZGlkIjoiMTVmMjVkNDViODUzMzZmYzlkMTcxMTIyYjU0YTA0MWQiLCJ1c2VySWQiOiIzMDYwMzU2NDUifQ==</vt:lpwstr>
  </property>
</Properties>
</file>