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leftChars="0" w:right="0" w:firstLine="0" w:firstLineChars="0"/>
        <w:jc w:val="center"/>
        <w:rPr>
          <w:rFonts w:hint="eastAsia" w:ascii="微软雅黑" w:hAnsi="微软雅黑" w:eastAsia="微软雅黑" w:cs="微软雅黑"/>
          <w:i w:val="0"/>
          <w:caps w:val="0"/>
          <w:color w:val="333333"/>
          <w:spacing w:val="0"/>
          <w:kern w:val="0"/>
          <w:sz w:val="36"/>
          <w:szCs w:val="36"/>
          <w:shd w:val="clear" w:color="auto" w:fill="FFFFFF"/>
          <w:lang w:val="en-US" w:eastAsia="zh-CN" w:bidi="ar"/>
        </w:rPr>
      </w:pPr>
      <w:r>
        <w:rPr>
          <w:rFonts w:hint="eastAsia" w:ascii="方正小标宋简体" w:hAnsi="Times New Roman" w:eastAsia="方正小标宋简体"/>
          <w:sz w:val="36"/>
          <w:szCs w:val="36"/>
          <w:lang w:val="en-US" w:eastAsia="zh-CN"/>
        </w:rPr>
        <w:t>紫金县2026年度本部门“双随机、一公开”抽查计划</w:t>
      </w:r>
    </w:p>
    <w:tbl>
      <w:tblPr>
        <w:tblStyle w:val="4"/>
        <w:tblW w:w="5281" w:type="pct"/>
        <w:jc w:val="center"/>
        <w:tblLayout w:type="autofit"/>
        <w:tblCellMar>
          <w:top w:w="0" w:type="dxa"/>
          <w:left w:w="108" w:type="dxa"/>
          <w:bottom w:w="0" w:type="dxa"/>
          <w:right w:w="108" w:type="dxa"/>
        </w:tblCellMar>
      </w:tblPr>
      <w:tblGrid>
        <w:gridCol w:w="656"/>
        <w:gridCol w:w="1981"/>
        <w:gridCol w:w="2298"/>
        <w:gridCol w:w="4030"/>
        <w:gridCol w:w="824"/>
        <w:gridCol w:w="1885"/>
        <w:gridCol w:w="1157"/>
        <w:gridCol w:w="1007"/>
        <w:gridCol w:w="1133"/>
      </w:tblGrid>
      <w:tr>
        <w:tblPrEx>
          <w:tblCellMar>
            <w:top w:w="0" w:type="dxa"/>
            <w:left w:w="108" w:type="dxa"/>
            <w:bottom w:w="0" w:type="dxa"/>
            <w:right w:w="108" w:type="dxa"/>
          </w:tblCellMar>
        </w:tblPrEx>
        <w:trPr>
          <w:trHeight w:val="7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lang w:eastAsia="zh-CN"/>
              </w:rPr>
              <w:t>序号</w:t>
            </w:r>
          </w:p>
        </w:tc>
        <w:tc>
          <w:tcPr>
            <w:tcW w:w="66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rPr>
              <w:t>抽查任务名称</w:t>
            </w:r>
          </w:p>
        </w:tc>
        <w:tc>
          <w:tcPr>
            <w:tcW w:w="767"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实施部门</w:t>
            </w:r>
          </w:p>
        </w:tc>
        <w:tc>
          <w:tcPr>
            <w:tcW w:w="134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仿宋_GB2312" w:cs="仿宋_GB2312"/>
                <w:b/>
                <w:bCs/>
                <w:sz w:val="21"/>
                <w:szCs w:val="21"/>
                <w:lang w:eastAsia="zh-CN"/>
              </w:rPr>
            </w:pPr>
            <w:r>
              <w:rPr>
                <w:rFonts w:hint="eastAsia" w:ascii="宋体" w:hAnsi="宋体" w:eastAsia="宋体" w:cs="宋体"/>
                <w:b/>
                <w:bCs/>
                <w:color w:val="auto"/>
                <w:kern w:val="0"/>
                <w:sz w:val="21"/>
                <w:szCs w:val="21"/>
              </w:rPr>
              <w:t>抽查事项</w:t>
            </w:r>
          </w:p>
        </w:tc>
        <w:tc>
          <w:tcPr>
            <w:tcW w:w="275"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抽查类型</w:t>
            </w:r>
          </w:p>
        </w:tc>
        <w:tc>
          <w:tcPr>
            <w:tcW w:w="62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仿宋_GB2312"/>
                <w:b/>
                <w:bCs/>
                <w:sz w:val="21"/>
                <w:szCs w:val="21"/>
                <w:lang w:eastAsia="zh-CN"/>
              </w:rPr>
            </w:pPr>
            <w:r>
              <w:rPr>
                <w:rFonts w:hint="eastAsia" w:ascii="宋体" w:hAnsi="宋体" w:eastAsia="宋体" w:cs="宋体"/>
                <w:b/>
                <w:bCs/>
                <w:color w:val="auto"/>
                <w:kern w:val="0"/>
                <w:sz w:val="21"/>
                <w:szCs w:val="21"/>
              </w:rPr>
              <w:t>抽查对象</w:t>
            </w:r>
            <w:r>
              <w:rPr>
                <w:rFonts w:hint="eastAsia" w:ascii="宋体" w:hAnsi="宋体" w:cs="宋体"/>
                <w:b/>
                <w:bCs/>
                <w:color w:val="auto"/>
                <w:kern w:val="0"/>
                <w:sz w:val="21"/>
                <w:szCs w:val="21"/>
                <w:lang w:eastAsia="zh-CN"/>
              </w:rPr>
              <w:t>范围</w:t>
            </w:r>
          </w:p>
        </w:tc>
        <w:tc>
          <w:tcPr>
            <w:tcW w:w="38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抽查对象总数</w:t>
            </w:r>
          </w:p>
        </w:tc>
        <w:tc>
          <w:tcPr>
            <w:tcW w:w="33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eastAsia="zh-CN"/>
              </w:rPr>
              <w:t>总抽查比例</w:t>
            </w:r>
          </w:p>
        </w:tc>
        <w:tc>
          <w:tcPr>
            <w:tcW w:w="378"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eastAsia" w:ascii="Times New Roman" w:hAnsi="Times New Roman" w:eastAsia="宋体" w:cs="仿宋_GB2312"/>
                <w:b/>
                <w:bCs/>
                <w:sz w:val="21"/>
                <w:szCs w:val="21"/>
                <w:lang w:eastAsia="zh-CN"/>
              </w:rPr>
            </w:pPr>
            <w:r>
              <w:rPr>
                <w:rFonts w:hint="eastAsia" w:ascii="宋体" w:hAnsi="宋体" w:eastAsia="宋体" w:cs="宋体"/>
                <w:b/>
                <w:bCs/>
                <w:color w:val="auto"/>
                <w:kern w:val="0"/>
                <w:sz w:val="21"/>
                <w:szCs w:val="21"/>
              </w:rPr>
              <w:t>抽</w:t>
            </w:r>
            <w:r>
              <w:rPr>
                <w:rFonts w:hint="eastAsia" w:ascii="宋体" w:hAnsi="宋体" w:cs="宋体"/>
                <w:b/>
                <w:bCs/>
                <w:color w:val="auto"/>
                <w:kern w:val="0"/>
                <w:sz w:val="21"/>
                <w:szCs w:val="21"/>
                <w:lang w:eastAsia="zh-CN"/>
              </w:rPr>
              <w:t>查时间</w:t>
            </w:r>
          </w:p>
        </w:tc>
      </w:tr>
      <w:tr>
        <w:tblPrEx>
          <w:tblCellMar>
            <w:top w:w="0" w:type="dxa"/>
            <w:left w:w="108" w:type="dxa"/>
            <w:bottom w:w="0" w:type="dxa"/>
            <w:right w:w="108" w:type="dxa"/>
          </w:tblCellMar>
        </w:tblPrEx>
        <w:trPr>
          <w:trHeight w:val="102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小额贷款公司日常检查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县政府办公室</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公司日常检查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全县小额贷款有限公司</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全年不定期</w:t>
            </w:r>
          </w:p>
        </w:tc>
      </w:tr>
      <w:tr>
        <w:tblPrEx>
          <w:tblCellMar>
            <w:top w:w="0" w:type="dxa"/>
            <w:left w:w="108" w:type="dxa"/>
            <w:bottom w:w="0" w:type="dxa"/>
            <w:right w:w="108" w:type="dxa"/>
          </w:tblCellMar>
        </w:tblPrEx>
        <w:trPr>
          <w:trHeight w:val="14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2026年度抽查宗教活动场所</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县民族宗教事务局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宗教活动场所安全生产（消防安全）落实情况、“四进”宗教活动场所情况及遵守法律、法规、规章情况检查等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紫金县宗教活动场所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661"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紫金县发展和改革局节能监察</w:t>
            </w:r>
          </w:p>
        </w:tc>
        <w:tc>
          <w:tcPr>
            <w:tcW w:w="767"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紫金县发展和改革局</w:t>
            </w:r>
          </w:p>
        </w:tc>
        <w:tc>
          <w:tcPr>
            <w:tcW w:w="134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检查高能耗企业是否存在违法违规用能行为</w:t>
            </w:r>
          </w:p>
        </w:tc>
        <w:tc>
          <w:tcPr>
            <w:tcW w:w="275"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2021年以来本地区通过节能审查企业</w:t>
            </w:r>
          </w:p>
        </w:tc>
        <w:tc>
          <w:tcPr>
            <w:tcW w:w="386"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2026年6月-10月</w:t>
            </w:r>
          </w:p>
        </w:tc>
      </w:tr>
      <w:tr>
        <w:tblPrEx>
          <w:tblCellMar>
            <w:top w:w="0" w:type="dxa"/>
            <w:left w:w="108" w:type="dxa"/>
            <w:bottom w:w="0" w:type="dxa"/>
            <w:right w:w="108" w:type="dxa"/>
          </w:tblCellMar>
        </w:tblPrEx>
        <w:trPr>
          <w:trHeight w:val="115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宾馆、旅店治安安全情况的检查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各类宾馆、旅店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6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保安行业相关单位抽查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保安从业单位及其保安服务活动情况的检查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紫金县保安行业相关单位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76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爆破作业单位抽查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民用爆破物仓储情况的检、爆破作业单位作业情况的检查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紫金县爆破作业单位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98"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易制毒化学品从业单位随机抽查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紫金县公安局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对易制毒化学品生产、经营、购买、运输、仓储等情况进行监督</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易制毒化学品从业单位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51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社会组织防范化解重大风险抽查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紫金县民政局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年度报告、信息公开、内部治理、财务状况、业务活动等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全县社会组织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5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紫金县司法局2026年度律师事务所“双随机、 一公开”专项检查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紫金县司法局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律师事务所工作规范管理情况；律师队伍建设情况；业务活动开展和执业表现情况。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全县律师事务所和律师</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2026年11月前</w:t>
            </w:r>
          </w:p>
        </w:tc>
      </w:tr>
      <w:tr>
        <w:tblPrEx>
          <w:tblCellMar>
            <w:top w:w="0" w:type="dxa"/>
            <w:left w:w="108" w:type="dxa"/>
            <w:bottom w:w="0" w:type="dxa"/>
            <w:right w:w="108" w:type="dxa"/>
          </w:tblCellMar>
        </w:tblPrEx>
        <w:trPr>
          <w:trHeight w:val="166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 xml:space="preserve"> 10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用人单位劳动用工情况检查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县人力资源和社会保障局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规章制度的检查、劳动合同及招用工管理、工作时间和休息休假、禁止使用童工、工资支付和最低工资标准</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全县用人单位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约4000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0.2%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15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土地复垦活动抽查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紫金县自然资源局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临时用地单位土地复垦情况抽查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县内临时用地使用单位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测绘质量监督检查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紫金县自然资源局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1.测绘资质单位测绘成果质量情况；2.测绘安全生产管理情况。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乙级测绘资质单位为主，不与国家和省、市级检查对象重复。同时，重点加强对外地测绘资质单位的测绘质量监督检查。</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对排放污染物的企业事业单位和其他生产经营者的行政检查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生态环境局紫金分局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排污许可证后监管为核心，重点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紫金县污染源排放单位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774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9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建筑市场监督执法检查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紫金县住房和城乡建设局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房屋市政工程工人工资支付的检查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建筑市场从业单位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县辖区内在建项目数量待定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每年10％抽查</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道路旅客运输经营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1.道路客运经营者是否具备道路运输经营许可条件行业监督行政检查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2.道路客运经营者是否过分停运行业监督行政检查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3..道路客运经营者是否非法转让、出租道路运输经营许可证件行业监督行政检查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4.道路客运经营者是否按承诺聘用与其经营业务相适应并且符合道路运输条例第九条规定的经营性道路旅运输驾驶员行业监督行政检查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5.道路客运经营者是否加强驾驶人等从业人员管理行业监督行政检查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6.道路客运经营者是否开展安全生产教育与培训行业监督行政检查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7.道路客运经营者是否在复工复产前对从业人员开展安全注意事项、安全防范措施、应急避险措施等安全生产教育培训行业监督行政检查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8.道路客运经营者是否对离岗六个月以上或者换岗的从业人员进行专门的安全生产教育和培训行业监督行政检查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9.道路客运经营者是否投入承诺的与其经营业务相适应并经检测合格的客车行业监督行政检查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10.道路客运经营者车辆是否过分逾期未进行年度审验行业监督行政检查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11.道路客运经营者是否按照“一车一档”建立车辆技术档案以及是否内容齐全行业监督行政检查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12.道路客运经营者车辆是否按要求进行维护和检测行业监督行政检查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13.道路客运经营者是否足额配备了专职的监控人员及履职情况行业监督行政检查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14.道路客运经营者是否使用符合标准的监控平台，且监控平台接入联网联控系统，并按规定上传道路运输车辆动态信息行业监督行政检查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15.道路客运经营者是否建立健全并严格落实动态监控管理相关制度行业监督行政检查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16.道路客运经营者企业正在运营的车辆是否均已上线，是否存在卫星定位装置故障但仍在运营的车辆行业监督行政检查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道路旅</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客运输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汽车客运</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站经营行</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业监督行</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1.道路客运站经营者是否具备道路运输经营许可条件行业监督行政检查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2.道路客运站经营者是否非法转让、出租道路运输经营许可证件行业监督行政检查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3.道路客运站经营者是否允许超载车辆或者未经安全检查及检查不合格的车辆出站行业监督行政检查</w:t>
            </w: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4.道路客运站经营者是否改变客运站基本用途和服务功能行业监督行政检查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5.道路客运站经营者是否公布运输线路、配客站点、班次、发车时间、票价等信息行业监督行政检查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6.一类、二类客运班线的经营者或者其委托的售票单位、客运站经营者是否按规定对客户身份进行查验，或者对身份不明、拒绝身份查验的客户提供服务行业监督行政检查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客运站经营者是否有健全的业务操作规程和安全管理制度，包括服务规范、安全生产操作规程、车辆发车前例检以及国家规定的危险物品及其他禁止携带的物品查堵、人员和车辆进出站安全管理等安全生产监督检查的制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8.道路客运站经营者是否按照规定制定突发事件应急预案行业监督行政检查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9.道路客运站经营者是否存在重大运输安全隐患等情形，导致不具备安全生产条件行业监督行政检查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10.道路客运站经营者是否维护好各种设施、设备，保持其正常使用行业监督行政检查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11.道路客运站经营者是否按照交通运输主管部门的规定报送运营信息行业监督行政检查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汽车客</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运站</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道路货物</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运输经营</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行业监督</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1.道路普通货物运输经营者是否具备道路运输经营许可条件行业监督行政检查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2.道路普通货物运输经营者是否非法转让、出租道路运输经营许可证件行业监督行政检查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3.道路普通货物运输经营者从事站场经营、货运代理（代办）等货运相关服务的，是否具备备案条件，并按规定进行备案行业监督行政检查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4.道路普通货物运输经营者参加货运经营的驾驶员是否取得从业资格行业监督行政检查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5.道路普通货物运输经营者是否落实驾驶人等从业人员管理行业监督行政检查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6.道路普通货物运输经营者是否对从业人员、被派遣劳动者、实习学生进行落实安全生产教育与培训行业监督行政检查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7.道路普通货物运输经营者车辆是否按照规定每12个月或者6个月进行1次检验检测和技术等级评定，车辆技术等级是否达到二级以上行业监督行政检查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8.道路普通货物运输经营者是否使用报废、擅自改装、拼装、检测不合格以及其他不符合国家规定的车辆行业监督行政检查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9.道路普通货物运输经营者是否建立车辆技术档案，且及时更新、记录详实行业监督行政检查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道路货</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物运输</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34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公路大件运输行业监督行政检查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1.大件运输被许可人和参与人资质保持情况行业监督行政检查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2.大件运输被许可人和参与人责任保证体系行业监督行政检查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3.大件运输被许可人和参与人车辆技术和各类安全生产台账行业监督行政检查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4.大件运输被许可人和参与人安全操作规程与现场作业管理行业监督行政检查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公路大件运输被许可人和参与人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涉路施工活动行业监督行政检查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1.涉路施工活动建设单位是否存在行政许可有效期届满三十日前未经延续许可进行涉路施工活动的行为行业监督行政检查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2.涉路施工活动建设单位是否存在未按照许可的设计和施工方案进行施工作业的行为行业监督行政检查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3.涉路施工活动建设单位是否存在未落实保障公路、公路附属设施质量和安全的防护措施的行为行业监督行政检查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4.涉路工程设施的所有人、管理人是否维护和管理涉路工程设施，并确保工程设施不影响公路的完好、安全和畅通行业监督行政检查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涉路施工被许可人和实施人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公路水运工程建设项目招标投标等市场行为行业监督行政检查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1.建设单位是否按照公开、公平、公正的原则，依法组织公路建设项目的招标投标工作；是否规避招标，对潜在投标人和投标人实行歧视政策，实行地方保护和暗箱操作行业监督行政检查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2.建设单位是否依法选择勘察、设计、施工、咨询、监理单位，采购与工程建设有关的重要设备、材料，办理施工许可，组织项目实施，组织项目交工验收，准备项目竣工验收和后评价行业监督行政检查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3.公路建设项目设计文件是否满足审批相关条件行业监督行政检查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4.建设单位是否擅自修改工程设计行业监督行政检查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5.建设单位是否对未进行交工验收、交工验收不合格或没有备案的工程开放交通进行试运营行业监督行政检查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6.建设单位是否随意压缩建设工期，指定分包和指定采购行业监督行政检查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7.公路建设项目是否满足竣工验收相关条件行业监督行政检查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8.建设单位是否规范公路建设资金监督管理行业监督行政检查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9.建设工程勘察设计单位是否满足资质许可条件（行业审查）行业监督行政检查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10.建设工程勘察、设计注册执业人员和其他专业技术人员是否受聘于一个建设工程勘察、设计单位或者同时受聘于两个以上建设工程勘察、设计单位，从事建设工程勘察、设计活动行业监督行政检查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11.勘察、设计单位是否依据项目批准文件，城乡规划及专业规划，国家规定的建设工程勘察、设计深度要求编制建设工程勘察、设计文件行业监督行政检查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12.勘察、设计单位注册建设工程勘察、设计人员是否未经注册，擅自以注册建设工程勘察、设计人员的名义从事建设工程勘察、设计活动行业监督行政检查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13.公路工程施工企业是否满足资质许可条件（行业审查）行业监督行政检查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14.施工单位是否按批准的设计文件施工，擅自修改工程设计；施工单位在变更设计中是否弄虚作假的行业监督行政检查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15.未经监理工程师签认，施工单位是否将建筑材料、构件和设备在工程上使用或安装，是否进行下一道工序施工行业监督行政检查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16.施工单位是否按照合同约定组织施工，管理和技术人员施工设备应当及时到位，以满足工程需要；是否均衡组织生产，加强现场管理，确保工程质量和进度，做到文明施工和安全生产行业监督行政检查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17.施工单位是否严格执行国家和地方有关环境保护和土地管理的规定，采取有效措施保护环境和节约用地行业监督行政检查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施工单位是否将劳务作业发包给具有劳务分包资质的劳务分包人；是否与招用农民工依法签订劳动合同，并将劳动合同报项目监理工程师和项目法人备案；是否按照合同按时支付劳务工资，落实各项制度和劳动保护措施，确保农民工安全；是否拖欠分包工程款和农民工工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19.公路工程监理企业是否满足资质许可的相关条件行业监督行政检查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20.公路工程监理企业监理工程师（交通运输工程）是否满足注册条件行业监督行政检查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公路建设项目实施过程中，监理单位是否依照法律、法规、规章以及有关技术标准、设计文件、合同文件和监理规范的要求，采用旁站、巡视和平行检验形式对工程实施监理，对不符合工程质量与安全要求的工程应当责令施工单位返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22.工程实施中，监理单位是否加强对职工的教育与培训，按照国家有关规定建立健全质量和安全保证体系，落实质量和安全生产责任制，保证工程质量和工程安全行业监督行政检查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公路水运工程建设项目招标人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公路水运工程质量安全生产行业监督行政检查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1.建设单位是否向有关的勘察、设计、施工、工程监理等单位提供与建设工程有关真实、准确、齐全的原始资料行业监督行政检查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2.建设单位按照合同约定采购的建筑材料、建筑构配件和设备，是否符合设计文件和合同要求行业监督行政检查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3.公路工程发生质量事故，建设单位是否向隶属部门隐瞒不报、谎报或者拖延报告行业监督行政检查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建设单位是否与勘察、设计、施工、监理等单位在合同中明确工程质量目标、质量管理责任和要求，加强对涉及质量的关键人员、施工设备等的履约管理，组织开展质量检查，督促有关单位及时整改质量问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建设单位交工验收前是否对工程质量进行检测，出具交工验收质量检测报告，并连同设计单位出具的工程设计符合性评价意见、监理单位提交的工程质量评定或者评估报告一并提交交通运输主管部门委托的建设工程质量监督机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6.建设单位是否按照国家规定办理工程质量监督手续行业监督行政检查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7.建设单位是否对未进行交工验收、交工验收不合格或没有备案的工程开放交通进行试运营行业监督行政检查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8.建设单位是否对不符合交工验收条件的项目按照合格项目验收行业监督行政检查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9.建设单位是否对试运营期超过3年的公路工程申请组织竣工验收行业监督行政检查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10.是否未经批准擅自修改工程设计行业监督行政检查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11.建设单位和个人是否拒绝或者阻碍建设工程质量监督检查人员依法执行职务行业监督行政检查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12.建设工程发生质量事故，建设单位是否依法依规向有关部门报告行业监督行政检查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14.施工单位是否偷工减料，使用不合格的建筑材料、建筑构配件和设备或者不按照工程设计图纸、施工技术标准施工行业监督行政检查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15.施工单位是否对建筑材料、建筑构配件、设备和商品混凝土进行检验，是否对涉及结构安全的试块试件以及有关材料进行取样检测行业监督行政检查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16.施工单位对施工中出现的质量问题或者验收不合格的工程，是否及时进行返工处理行业监督行政检查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17.施工单位是否建立质量责任制，按合同约定设立现场质量管理机构、配</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备工程技术人员和质量管理人员行业监督行政检查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18.施工单位是否建立、健全施工质量的检验制度，是否严格按规定施行班组自检、工序交接检、专职质检员检验的质量控制程序行业监督行政检查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19.对涉及结构安全的试块、试件以及有关材料，施工单位是否在建设单位或者工程监理单位监督下现场取样，并送具有相应资质等级的质量检测单位进行检测行业监督行政检查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20.施工单位是否建立、健全教育培训制度，未经教育培训或者考核不合格的人员，是否上岗作业行业监督行政检查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21.施工单位是否对分项工程、分部工程和单位工程进行质量自评；检验或者自评不合格的，是否进入下道工序行业监督行政检查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22.施工单位是否将未经监理工程师签认的建筑材料、构件和设备在工程上使用或安装行业监督行政检查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23.施工单位是否按照合同约定设立工地临时试验室，是否严格按照工程技术标准、检测规范和规程，在核定的试验检测参数范围内开展试验检测活动行业监督行政检查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24.是否在施工中不按照工程设计图纸或者施工技术标准施工的其他行为行业监督行政检查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25.施工单位是否履行保修义务或者拖延履行保修义务行业监督行政检查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26.是否建立健全质量责任制，或未由项目负责人全面负责施工现场质量管理工作，或变更项目负责人，是否按照有关规定办理变更手续行业监督行政检查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27.施工单位是否制定工程质量事故应急预案，组织应急演练的行业监督行政检查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28.是否根据工程施工进度告知检测单位进行工程质量检测行业监督行政检查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29.是否使用未经检验或检验不合格的原材料，供应未经检验或者检验不合格的商品混凝土、混凝土预制构件行业监督行政检查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30.施工单位和个人是否拒绝或者阻碍建设工程质量监督检查人员依法执行职务行业监督行政检查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31.建设工程发生质量事故，施工单位是否依法依规向有关部门报告行业监督行政检查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32.工程实施中施工单位是否加强对职工的教育与培训，按照国家有关规定</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建立健全质量和安全保证体系，落实质量和安全生产责任制，保证工程质量和工程安全行业监督行政检查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34.监理单位是否选派具备相应资格的总监理工程师和监理工程师进驻施工现场行业监督行政检查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35.监理单位是否依照法律、法规以及有关技术标准、设计文件和建设工程承包合同对施工质量实施监理行业监督行政检查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36.工程款拨付、交（竣）工验收是否经总监理工程师签字行业监督行政检查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37.监理工程师是否按照工程监理规范的要求，采取旁站、巡视和平行检验等形式实施监理行业监督行政检查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38.监理单位是否将不合格的建设工程、建筑材料、建筑构配件和设备按照合格签字行业监督行政检查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39.监理单位是否按合同约定设立现场监理机构行业监督行政检查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40.监理单位是否按规定程序和标准进行工程质量检查、检测和验收，对发现的质量问题及时督促整改行业监督行政检查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41.交工验收前监理单位是否根据有关标准和规范要求对工程质量进行检查验证、编制工程质量评定或者评估报告行业监督行政检查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42.监理单位是否按照合同约定设立工地临时试验室，是否严格按照工程技术标准、检测规范和规程，在核定的试验检测参数范围内开展试验检测活动行业监督行政检查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43.监理单位是否未履行或违反“按月向有关行政主管部门或者其委托的工程质量监督机构提交工程质量监理报告”质量义务的行业监督行政检查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44.监理单位是否违反“不得指定建筑材料、商品混凝土、混凝土预制构件、建筑构配件和设备的生产、供应单位”质量义务的行业监督行政检查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45.监理单位是否违反“不得执行建设单位发出的违反法律、法规和工程建设强制性标准的指令”质量义务的行业监督行政检查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46.监理单位和个人是否拒绝或者阻碍建设工程质量监督检查人员依法执行职务的行业监督行政检查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47.工程实施中，监理单位是否加强对职工的教育与培训，按照国家有关规定建立健全质量和安全保证体系，落实质量和安全生产责任制，保证工程质</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48.建设、勘察、设计、施工、监理等单位是否书面明确相应的项目负责人和质量负责人行业监督行政检查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49.在检测过程中发现检测项目不合格且涉及工程主体结构安全的，检测机构是否及时向负有工程建设项目质量监督管理责任的交通运输主管部门报告行业监督行政检查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50.检测机构是否未取得相应资质、资质证书已过有效期、超出资质许可范围从事检测活动行业监督行政检查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51.检测机构接受监督检查时是否不如实提供有关资料，或者拒绝、阻碍监督检查的行业监督行政检查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52.检测机构是否未按规定进行样品管理行业监督行政检查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53.检测机构是否未按规定进行档案管理，造成检测数据无法追溯行业监督行政检查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54.检测机构是否存在检测合同、委托单、检测数据原始记录、检测报告未连续编号，是否存在抽撤和涂改情况行业监督行政检查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55.检测机构是否未履行或违反“使用符合相关行业管理规定条件的检测人员”的质量义务行业监督行政检查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56.检测机构是否未履行或违反“建立工程质量检测信息系统，及时向交通运输主管部门的工程质量检测监管信息系统上传检测信息”的质量义务行业监督行政检查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57.勘察单位是否违反“按照国家有关建设工程勘察文件编制深度要求，编制真实、准确的工程勘察文件”的质量义务行业监督行政检查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58.勘察单位是否违反“参加建设单位或者监理单位组织的勘察设计交底和文件图纸会审，对编制的工程勘察文件以书面形式向建设单位、设计单位、施工单位、监理单位作出详细说明”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59.勘察单位是否违反“按照技术标准、国家有关规定及合同约定参加工程质量验收和工程竣工验收”的质量义务行业监督行政检查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60.勘察单位是否违反“参加相关工程质量问题和质量事故处理，对因勘察造成的质量问题、质量事故提出相应技术处理方案”的质量义务行业监督行政检查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61.勘察单位是否违反“参加处理工程施工中出现的与勘察有关的其他问题”的质量义务行业监督行政检查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62.设计单位是否违反“按照国家有关建设工程设计文件编制深度要求，编制工程设计文件”的质量义务行业监督行政检查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63.设计单位是否违反“参加建设单位或者监理单位组织的勘察设计交底和文件图纸会审，对编制的工程设计文件以书面形式向建设单位、施工单位、监理单位作出详细说明”的质量义务行业监督行政检查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64.设计单位是否违反“按照技术标准、国家有关规定及合同约定参加工程质量验收和工程竣工验收”的质量义务行业监督行政检查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65.设计单位是否违反“对设计采用新材料、新技术的工程，按照国家有关规定向工程施工现场派驻设计代表”的质量义务行业监督行政检查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66.勘察、设计单位和个人是否拒绝或者阻碍建设工程质量监督检查人员依法执行职务行业监督行政检查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67.工程实施中，勘察设计单位是否加强对职工的教育与培训，按照国家有关规定建立健全质量和安全保证体系，落实质量和安全生产责任制，保证工程质量和工程安全行业监督行政检查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68.建设、勘察、设计、施工、监理等单位是否书面明确相应的项目负责人和质量负责人行业监督行政检查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69.勘察设计单位是否按照合同约定，按期提供勘察设计资料和设计文件；工程实施过程中，是否按照合同约定派驻设计代表，提供设计后续服务行业监督行政检查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70.施工图设计文件审查单位是否违反“对审查不合格的施工图设计文件，向建设单位一次性书面告知审查认定不合格的事实与依据，并提出修改后重新送审要求”的质量义务行业监督行政检查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71.施工图设计文件审查单位是否违反“对审查合格的施工图设计文件逐页加盖单位审查专用章，出具审查合格书并报住房城乡建设主管部门或者交通运输、水行政等主管部门备案”的质量义务行业监督行政检查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72.施工图设计文件审查单位是否违反“建立项目审查档案，完整归档保存”的质量义务行业监督行政检查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73.施工图设计文件审查单位是否违反“发现违反法律、法规和工程建设强制性标准问题的，报住房城乡建设主管部门或者交通运输、水行政等主管部门处理”的质量义务行业监督行政检查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74.施工图设计文件审查单位是否违反“不得以其他单位名义或者允许其他单位、个人以本单位名义承揽审查业务”的质量义务行业监督行政检查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公路水运工程项目法人及其他参建主体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预计4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683"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机动车驾驶员培训机构综合执法行政检查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1.机动车驾驶员培训机构是否通过交通运输管理部门备案综合执法行政检查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机动车驾驶员培训机构是否将经营项目、培训能力、培训车型、培训内容、收费项目、收费标准、教练员、教学场地、投诉方式、学员满意度评价参与方式等情况在经营场所的醒目位置进行公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3.机动车驾驶员培训机构是否按规定聘用教学人员综合执法行政检查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4.机动车驾驶员培训机构是否按规定建立教练员档案、学员档案、教学车辆档案综合执法行政检查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5.机动车驾驶员培训机构是否在备案的教练场地开展基础和场地驾驶培训综合执法行政检查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6.机动车驾驶员培训机构是否使用不符合规定的车辆及设施、设备从事教学活动综合执法行政检查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7.机动车驾驶员培训机构是否按规定报送《培训记录》、教练员档案主要信息和有关统计资料等信息综合执法行政检查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8.机动车驾驶员培训机构是否存在索取、收受学员财物或者谋取其他利益等不良行为综合执法行政检查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9.机动车驾驶员培训机构是否按规定与学员签订培训合同综合执法行政检查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10.机动车驾驶员培训机构是否按规定开展教练员岗前培训或者再教育综合执法行政检查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11.机动车驾驶员培训机构是否定期开展教练员教学质量信誉考核，公布考核结果综合执法行政检查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12.机动车驾驶员培训机构是否到备案地以外开展培训业务综合执法行政检查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13.机动车驾驶员培训机构是否在指定的路线、时间开展培训业务综合执法行政检查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14.机动车驾驶员培训机构是否按全国统一的教学大纲进行培训综合执法行政检查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15.机动车驾驶员培训机构是否按照规定组织学员结业考核，向考核合格的学员颁发《机动车驾驶员培训结业证书》综合执法行政检查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16.机动车驾驶员培训机构是否向未参加培训、未完成培训、未参加结业考核或者结业考核不合格的人员颁发《结业证书》综合执法行政检查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17.机动车驾驶培训教练员是否按全国统一的教学大纲进行教学综合执法行政检查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18.机动车驾驶培训教练员是否填写《教学日志》《培训记录》综合执法行政检查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19.机动车驾驶培训教练员是否在教学过程中将教学车辆交给与教学无关人员驾驶综合执法行政检查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20.机动车驾驶培训教练员是否在教学过程中有道路交通安全违法行为或者造成交通事故综合执法行政检查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21.机动车驾驶培训教练员是否存在索取、收受学员财物或者谋取其他利益等不良行为综合执法行政检查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22.机动车驾驶培训教练员是否按规定参加岗前培训或者再教育综合执法行政检查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23.机动车驾驶员培训机构是否培训记录弄虚作假综合执法行政检查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机动车驾驶员培训机构</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76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巡游出租汽车经营综合执法行政检查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1.巡游出租车客运经营者是否取得巡游出租汽车经营许可综合执法行政检查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2.巡游出租车客运经营者聘用的出租汽车驾驶员是否具有相应的从业资格证，按规定办理了注册手续综合执法行政检查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3.巡游出租车客运经营者是否按照规定组织实施了继续教育综合执法行政检查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4.出租汽车驾驶员是否未取得从业资格证或者超越从业资格证核定范围，驾驶出租汽车从事经营活动综合执法行政检查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5.出租汽车驾驶员是否转借、出租或者涂改从业资格证综合执法行政检查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6.出租汽车驾驶员从事巡游车服务，是否在车内醒目位置公开本人的从业信息或者公开的信息与实际驾驶人员不一致综合执法行政检查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7.巡游出租车客运经营者车辆是否取得道路运输证，且不存在失效、伪造、变造、被注销等无效情形综合执法行政检查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8.巡游出租车客运经营者是否在未取得巡游车《道路运输证》的车辆上喷涂巡游车专用标识和安装巡游车标志灯、空车待租标志、计程计价设备综合执法行政检查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9.巡游出租车客运经营者是否按规定建立并落实投诉举报制度综合执法行政检查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10.巡游出租车客运经营者是否擅自暂停、终止全部或者部分巡游出租汽车经营综合执法行政检查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11.巡游出租车客运经营者是否出租或者擅自转让巡游出租汽车车辆经营权综合执法行政检查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12.巡游出租车客运经营者是否及时纠正巡游出租汽车驾驶员转包经营综合执法行政检查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13.巡游出租车客运经营者是否按照规定保证车辆技术状况良好综合执法行政检查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14.巡游出租汽车经营者是否按照规定配置巡游出租汽车相关设备综合执法行政检查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15.巡游出租车客运经营者是否按照规定向交通运输等部门提供营运数据或者其他必要的营运资料综合执法行政检查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16.巡游出租车客运经营者是否实时传送车辆卫星定位装置记录或者生成的数据综合执法行政检查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17.出租汽车经营者、驾驶员以及其他单位和个人是否干扰或者屏蔽出租汽车相关设备数据传输信号综合执法行政检查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18.出租汽车经营者、驾驶员以及其他单位和个人是否篡改出租汽车相关设备记录或者生成的数据综合执法行政检查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巡游出租汽车公司</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机动车维修经营综合执法检查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紫金县交通运输局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1.机动车维修经营者是否通过交通运输管理部门备案综合执法行政检查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2.机动车维修经营者是否按照国务院交通运输主管部门制定的机动车维修经营业务标准开展维修服务综合执法行政检查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3.机动车维修经营者是否存在承修已报废的机动车或者擅自改装机动车综合执法行政检查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4.机动车维修经营者是否使用假冒伪劣配件维修机动车综合执法行政检查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5.机动车维修经营者是否签发虚假机动车维修竣工出厂合格证综合执法行政检查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机动车维修经营Ⅰ、Ⅱ企业以及其他类别企业和业户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2026年4月到10月</w:t>
            </w:r>
          </w:p>
        </w:tc>
      </w:tr>
      <w:tr>
        <w:tblPrEx>
          <w:tblCellMar>
            <w:top w:w="0" w:type="dxa"/>
            <w:left w:w="108" w:type="dxa"/>
            <w:bottom w:w="0" w:type="dxa"/>
            <w:right w:w="108" w:type="dxa"/>
          </w:tblCellMar>
        </w:tblPrEx>
        <w:trPr>
          <w:trHeight w:val="139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农药监督检查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企业资质、经营人员、经营场所及设施设备、规范经营管理、制度执行、产品质量、安全经营主体责任落实等。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农药经营门店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default" w:ascii="Times New Roman" w:hAnsi="Times New Roman" w:eastAsia="仿宋_GB2312" w:cs="仿宋_GB2312"/>
                <w:kern w:val="2"/>
                <w:sz w:val="24"/>
                <w:szCs w:val="24"/>
                <w:lang w:val="en-US" w:eastAsia="zh-CN" w:bidi="ar-SA"/>
              </w:rPr>
              <w:t>202</w:t>
            </w:r>
            <w:r>
              <w:rPr>
                <w:rFonts w:hint="eastAsia" w:ascii="Times New Roman" w:hAnsi="Times New Roman" w:eastAsia="仿宋_GB2312" w:cs="仿宋_GB2312"/>
                <w:kern w:val="2"/>
                <w:sz w:val="24"/>
                <w:szCs w:val="24"/>
                <w:lang w:val="en-US" w:eastAsia="zh-CN" w:bidi="ar-SA"/>
              </w:rPr>
              <w:t>6</w:t>
            </w:r>
            <w:r>
              <w:rPr>
                <w:rFonts w:hint="default" w:ascii="Times New Roman" w:hAnsi="Times New Roman" w:eastAsia="仿宋_GB2312" w:cs="仿宋_GB2312"/>
                <w:kern w:val="2"/>
                <w:sz w:val="24"/>
                <w:szCs w:val="24"/>
                <w:lang w:val="en-US" w:eastAsia="zh-CN" w:bidi="ar-SA"/>
              </w:rPr>
              <w:t>年4月-10月</w:t>
            </w:r>
          </w:p>
        </w:tc>
      </w:tr>
      <w:tr>
        <w:tblPrEx>
          <w:tblCellMar>
            <w:top w:w="0" w:type="dxa"/>
            <w:left w:w="108" w:type="dxa"/>
            <w:bottom w:w="0" w:type="dxa"/>
            <w:right w:w="108" w:type="dxa"/>
          </w:tblCellMar>
        </w:tblPrEx>
        <w:trPr>
          <w:trHeight w:val="136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种子监督检查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经营者基本情况、种子来源、进货时间、数量、种子经营许可证，种子质量、备案情况、经营档案、种子标签和使用说明等。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种子经营门店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4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兽药生产、经营企业：经营主体资格、安全生产管理、购销记录和台账、二维码追溯情况和设施设备等情况。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兽药经营门店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1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《肥料登记管理办法》落实情况。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肥料经营门店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128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饲料监督抽查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紫金县农业农村局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安全生产责任制落实情况、违法添加违禁药物、饲料及饲料添加剂生产许可条件等。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饲料经营门店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2026年4月-10月</w:t>
            </w:r>
          </w:p>
        </w:tc>
      </w:tr>
      <w:tr>
        <w:tblPrEx>
          <w:tblCellMar>
            <w:top w:w="0" w:type="dxa"/>
            <w:left w:w="108" w:type="dxa"/>
            <w:bottom w:w="0" w:type="dxa"/>
            <w:right w:w="108" w:type="dxa"/>
          </w:tblCellMar>
        </w:tblPrEx>
        <w:trPr>
          <w:trHeight w:val="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民用爆炸物品销售企业仓库安全监督检查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紫金县工业商务和信息化局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民用爆炸物品销售企业仓库管理安全制度落实情况，落实《民用爆炸物品安全管理条例》（中华人民共和国国务院令第466号）情况等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河源市泰安民用爆炸物品有限公司紫金分公司民爆物品仓库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11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出版物经营单位经营情况的检查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出版物经营单位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3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娱乐场所取得相关许可证及其他相关情况的检查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舞厅、音乐厅、KTV、游艺室</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18</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4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旅行社经营单位的检查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旅行社取得许可证情况、经营情况、通过网络经营旅行社业务和发布旅游经营信息网站情况的检查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旅行社经营单位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2026年6月-9月</w:t>
            </w:r>
          </w:p>
        </w:tc>
      </w:tr>
      <w:tr>
        <w:tblPrEx>
          <w:tblCellMar>
            <w:top w:w="0" w:type="dxa"/>
            <w:left w:w="108" w:type="dxa"/>
            <w:bottom w:w="0" w:type="dxa"/>
            <w:right w:w="108" w:type="dxa"/>
          </w:tblCellMar>
        </w:tblPrEx>
        <w:trPr>
          <w:trHeight w:val="140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高危险性体育项目经营企业的检查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经营高危险性体育项目（游泳）场所安全管理等的检查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经营高危险性体育项目（游泳）场所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32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县文化广电旅游体育局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互联网上网服务营业场所取得相关许可证及其他相关情况的检查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互联网上网服务营业场所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2026年3月-10月</w:t>
            </w:r>
          </w:p>
        </w:tc>
      </w:tr>
      <w:tr>
        <w:tblPrEx>
          <w:tblCellMar>
            <w:top w:w="0" w:type="dxa"/>
            <w:left w:w="108" w:type="dxa"/>
            <w:bottom w:w="0" w:type="dxa"/>
            <w:right w:w="108" w:type="dxa"/>
          </w:tblCellMar>
        </w:tblPrEx>
        <w:trPr>
          <w:trHeight w:val="114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工贸企业安全生产监督检查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重大事故隐患</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工贸行业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约90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4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危险化学品安全生产检查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安全生产主要负责人履职</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危险化学品行业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6.4%</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非煤矿山企业安全监督检查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紫金县应急管理局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安全生产检查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全县非煤矿山（含尾矿库）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73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统计执法检查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紫金县统计局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统计调查对象依法设置原始记录、统计台账情况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统计调查对象</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以市统计局下发数量为准</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2026年8月31日</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燃气安全管理</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紫金县城市管理和综合执法局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燃气场站安全现状检查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全县燃气企业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2026年5月—11月</w:t>
            </w:r>
          </w:p>
        </w:tc>
      </w:tr>
      <w:tr>
        <w:tblPrEx>
          <w:tblCellMar>
            <w:top w:w="0" w:type="dxa"/>
            <w:left w:w="108" w:type="dxa"/>
            <w:bottom w:w="0" w:type="dxa"/>
            <w:right w:w="108" w:type="dxa"/>
          </w:tblCellMar>
        </w:tblPrEx>
        <w:trPr>
          <w:trHeight w:val="16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对从事城市生活垃圾经营性清扫、收集、运输、处理企业的检查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紫金县城市管理和综合执法局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对从事城市生活垃圾经营性清扫、收集、运输、处理企业的检查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县城相关经营企业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松材线虫病疫木管理检查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检查松材线虫病防治质量和疫木集中处理场</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中标松材线虫病防治项 目的单位及在地方林业 主管部门备案的疫木集中处理场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4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林草种子生产经营许可检查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检查种苗质量，林草种子生产经营许可、标签、档案、质量自检等各项制度的执行情况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依法取得生产经营许可证的从事林草种子生产经营者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林木采伐检查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检查采伐地点、范围、树种以及更新造林情况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全县范围林木采伐</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2026年3-9月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人工繁育野生动物场所检查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紫金县林业局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1.资质证照一致性核查；2.场所与设施条件核查；3.种源与台账管理核查；4.防疫与检疫核查。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已依法取得人工繁育国家重点野生动物行政许可决定书的公民、法人或者其他组织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全县机关、团体、企业、事业等单位监督检查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紫金县消防救援大队</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中华人民共和国消防法》、《机关、团体、企业、事业单位消防安全管理规定》（公安部令第61号令）、《消防监督检查规定》（公安部令第120号）、《消防产品监督管理规定》（公安部令第122号）、《社会消防技术服务管理规定》（应急管理部令第7号）等</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全县机关、团体、企业、事业等单位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336</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2026年1月-12月</w:t>
            </w:r>
          </w:p>
        </w:tc>
      </w:tr>
      <w:tr>
        <w:tblPrEx>
          <w:tblCellMar>
            <w:top w:w="0" w:type="dxa"/>
            <w:left w:w="108" w:type="dxa"/>
            <w:bottom w:w="0" w:type="dxa"/>
            <w:right w:w="108" w:type="dxa"/>
          </w:tblCellMar>
        </w:tblPrEx>
        <w:trPr>
          <w:trHeight w:val="20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卷烟零售市场监督检查</w:t>
            </w:r>
          </w:p>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紫金县烟草专卖局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卷烟零售户守法经营情况；烟草专卖零售许可证使用情况；国家烟草专卖局规定需要检查的其他事项。</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紫金县卷烟零售户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359</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48</w:t>
            </w:r>
          </w:p>
        </w:tc>
        <w:tc>
          <w:tcPr>
            <w:tcW w:w="661"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2026年重点单位气象灾害防御执法检查</w:t>
            </w:r>
          </w:p>
        </w:tc>
        <w:tc>
          <w:tcPr>
            <w:tcW w:w="767"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紫金县气象局</w:t>
            </w:r>
          </w:p>
        </w:tc>
        <w:tc>
          <w:tcPr>
            <w:tcW w:w="1345"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2026年重点单位气象灾害防御执法检查</w:t>
            </w:r>
          </w:p>
        </w:tc>
        <w:tc>
          <w:tcPr>
            <w:tcW w:w="275"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紫金县气象灾害防御重点单位</w:t>
            </w:r>
          </w:p>
        </w:tc>
        <w:tc>
          <w:tcPr>
            <w:tcW w:w="386"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36"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top"/>
          </w:tcPr>
          <w:p>
            <w:pPr>
              <w:widowControl/>
              <w:spacing w:line="320" w:lineRule="exact"/>
              <w:jc w:val="center"/>
              <w:rPr>
                <w:rFonts w:hint="eastAsia" w:ascii="Times New Roman" w:hAnsi="Times New Roman" w:eastAsia="仿宋_GB2312" w:cs="仿宋_GB2312"/>
                <w:kern w:val="2"/>
                <w:sz w:val="24"/>
                <w:szCs w:val="24"/>
                <w:lang w:val="en-US" w:eastAsia="zh-CN" w:bidi="ar-SA"/>
              </w:rPr>
            </w:pPr>
          </w:p>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 月-10月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49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紫金县企业不定向抽查</w:t>
            </w:r>
          </w:p>
        </w:tc>
        <w:tc>
          <w:tcPr>
            <w:tcW w:w="767" w:type="pct"/>
            <w:vMerge w:val="restart"/>
            <w:tcBorders>
              <w:top w:val="single" w:color="auto" w:sz="4" w:space="0"/>
              <w:left w:val="nil"/>
              <w:right w:val="single" w:color="auto" w:sz="4" w:space="0"/>
            </w:tcBorders>
            <w:vAlign w:val="center"/>
          </w:tcPr>
          <w:p>
            <w:pPr>
              <w:widowControl/>
              <w:spacing w:line="320" w:lineRule="exact"/>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登记事项、公示信息两大抽查类别检查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2025年度需年报的企业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国家企业信用信息公示系统（广东）企业数量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紫金县未年报经营异常企业定向抽查</w:t>
            </w:r>
          </w:p>
        </w:tc>
        <w:tc>
          <w:tcPr>
            <w:tcW w:w="767" w:type="pct"/>
            <w:vMerge w:val="continue"/>
            <w:tcBorders>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登记事项、公示信息检查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未进行2024年度年报的企业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年报截止后统计的未年报列入经营异常企业数量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2026年7-10月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电子商务经营行为监督检查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电子商务平台经营者履行主体责任的检查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紫金县食品相关产品生产企业抽查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食品相关产品质量安全监督检查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全县食品相关产品获证企业（重点抽查婴幼儿奶瓶和商用电热电动食品加工设备生产企业）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 w:val="21"/>
                <w:szCs w:val="21"/>
                <w:lang w:val="en-US" w:eastAsia="zh-CN"/>
              </w:rPr>
              <w:t>53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紫金县食品生产企业抽查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食品生产监督检查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全县食品生产获证企业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约65</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零售药店GSP符合性检查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零售药店GSP符合性检查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全县零售药店</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277</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2026年1月-10月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kern w:val="2"/>
                <w:sz w:val="21"/>
                <w:szCs w:val="21"/>
                <w:lang w:val="en-US" w:eastAsia="zh-CN" w:bidi="ar-SA"/>
              </w:rPr>
              <w:t>55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全县餐饮服务提供者（网络经营）、集中用餐单位食堂食品安全监督检查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对食品经营主体资格、食 品安全制度落实情况、餐饮操作规范和《食品安全国家标准餐饮服务通用卫生规范》（GB31654-2021）落实情况等进行检查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全县餐饮服务提供者(含网络经营）、集中用餐单位食堂（食品安全风险等级为D级除外）</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约1800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食品（含特殊食品）销售监督抽查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保健食品销售监督检查、特殊医学用途配方食品销售监督检查、婴幼儿配方食品销售监督检查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特殊食品销售单位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根据《食品生产经营监督检查管理办法》《广东省市场监督管理局关于进一步做好食品销售监督管理工作通知》确定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全县地理标志专用标志合法使用人定向抽查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专用标志使用是否符合《广东省地理标志条例》（广东省第十三届人民代表大会常务委员会公告第123号）、《地理标志专用标志使用管理办法（试行）》（国家知识产权局公告第354号）、《地理标志产品保护办法》（国家知识产权局令第80号）规定</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地理标志专用标志用标企业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2026年重点专业市场知识产权保护状况定向检查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商标使用行为（含集体商标、证明商标以及地理标志）是否符合《中华人民共和国商标法》第六条、第十条、第十四条第五款、第十六条、第四十三条第二款、第四十九条第一款、《中华人民共和国商标法实施条例》第四条、《集体商标、证明商标注册和管理办法》第十七条、第十八条、第十九条、第二十二条的规定。</w:t>
            </w:r>
            <w:r>
              <w:rPr>
                <w:rFonts w:hint="eastAsia" w:ascii="Times New Roman" w:hAnsi="Times New Roman" w:eastAsia="仿宋_GB2312" w:cs="仿宋_GB2312"/>
                <w:kern w:val="2"/>
                <w:sz w:val="24"/>
                <w:szCs w:val="24"/>
                <w:lang w:val="en-US" w:eastAsia="zh-CN" w:bidi="ar-SA"/>
              </w:rPr>
              <w:br w:type="textWrapping"/>
            </w:r>
            <w:r>
              <w:rPr>
                <w:rFonts w:hint="eastAsia" w:ascii="Times New Roman" w:hAnsi="Times New Roman" w:eastAsia="仿宋_GB2312" w:cs="仿宋_GB2312"/>
                <w:kern w:val="2"/>
                <w:sz w:val="24"/>
                <w:szCs w:val="24"/>
                <w:lang w:val="en-US" w:eastAsia="zh-CN" w:bidi="ar-SA"/>
              </w:rPr>
              <w:t>2.专利证书、产品专利宣传真实性是否《中华人民共和国专利法》第六十八条《中华人民共和国专利法实施细则》第八十四条的规定。</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重点市场经</w:t>
            </w:r>
            <w:bookmarkStart w:id="0" w:name="_GoBack"/>
            <w:bookmarkEnd w:id="0"/>
            <w:r>
              <w:rPr>
                <w:rFonts w:hint="eastAsia" w:ascii="Times New Roman" w:hAnsi="Times New Roman" w:eastAsia="仿宋_GB2312" w:cs="仿宋_GB2312"/>
                <w:kern w:val="2"/>
                <w:sz w:val="24"/>
                <w:szCs w:val="24"/>
                <w:lang w:val="en-US" w:eastAsia="zh-CN" w:bidi="ar-SA"/>
              </w:rPr>
              <w:t>营主体</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59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紫金县知识产权商标代理行为的检查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商标代理行为的检查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经市场监管部门登记从事商标代理业务的服务机构（所）</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2026年12月31日前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团体标准、企业标准监督检查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标准文本内容</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全县制定企业标准、团体标准的企事业单位、社团组织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企业标准信息公共服务平台公示的企业数量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在用计量器具监督检查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在用计量器具监督检查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对加油机、眼镜、压力表、电子秤、地磅计量器具等进行抽查检定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法定计量检定机构专项监督检查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法定计量检定机构监督检 查、在用计量标准器具监 督检查、注册计量师监督 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县内法定计量检定机构、县内在用计量标准器具、县内法定计量检定 机构已取得市场监管部门颁发的注册计量师注册证的人员</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能效标识计量监督检查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用能产品能效标识专项计量监督检查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列入实行能效 标识的产品目录的用能产品 的生产者、进口商及销售者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水效标识计量监督检查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水效标识专项计量监督检查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列入实行水效标识的产品目录的用能产品的生产者、进口商及销售者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定量包装商品净含量计量监督检查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定量包装商品净含量计量监督检查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定量包装商品生产方或销售者</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实施部门统计</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2026年11月30日前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检验检测机构监督抽查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检验检测机构检查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全县获得省级资质认定证书的检验检测机构（生态环境监测机构、机动车检验机构除外）。</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广东省市场监督管理局信息公示平台公示紫金检验检测机构数量（机动车检验机构除外）。</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按照省局规定的比例抽取。</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自愿性认证活动及结果合规性、 有效性的检查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认证活动和认证结果检查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全县获得自愿性认证获证组织。</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国家认证行政监管系统河源获得自愿性认证获证组织数量。</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按照国家总局在国家认证行政监管系统下发的任务。</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机动车检验机构监督检查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机动车检验机构开展检验情况的检查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全县机动车检验机构</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广东省市场监督管理局信息公示平台公示紫金机动车检验机构。</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按照国家总局在国家认证行政监管系统下发的任务。</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2026年3月至10月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69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电动自行车充电价格专项抽查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是否存在不执行政府定价、不按规定明码标价、价格欺诈等价格违法行为</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辖区内电动自行车充电设施运营单位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20户</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r>
              <w:rPr>
                <w:rFonts w:hint="default" w:ascii="Times New Roman" w:hAnsi="Times New Roman" w:eastAsia="仿宋_GB2312" w:cs="仿宋_GB2312"/>
                <w:kern w:val="2"/>
                <w:sz w:val="24"/>
                <w:szCs w:val="24"/>
                <w:lang w:val="en" w:eastAsia="zh-CN" w:bidi="ar-SA"/>
              </w:rPr>
              <w:t>%</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2026年10月底前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70</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水电气企业收费专项抽查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是否存在不执行政府定价、不按规定明码标价、价格欺诈等价格违法行为;是否按规定落实价格优惠政策</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辖区内水电气经营企业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2户</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w:t>
            </w:r>
            <w:r>
              <w:rPr>
                <w:rFonts w:hint="default" w:ascii="Times New Roman" w:hAnsi="Times New Roman" w:eastAsia="仿宋_GB2312" w:cs="仿宋_GB2312"/>
                <w:kern w:val="2"/>
                <w:sz w:val="24"/>
                <w:szCs w:val="24"/>
                <w:lang w:val="en" w:eastAsia="zh-CN" w:bidi="ar-SA"/>
              </w:rPr>
              <w:t>10</w:t>
            </w:r>
            <w:r>
              <w:rPr>
                <w:rFonts w:hint="eastAsia" w:ascii="Times New Roman" w:hAnsi="Times New Roman" w:eastAsia="仿宋_GB2312" w:cs="仿宋_GB2312"/>
                <w:kern w:val="2"/>
                <w:sz w:val="24"/>
                <w:szCs w:val="24"/>
                <w:lang w:val="en-US" w:eastAsia="zh-CN" w:bidi="ar-SA"/>
              </w:rPr>
              <w:t>月底前</w:t>
            </w:r>
          </w:p>
        </w:tc>
      </w:tr>
      <w:tr>
        <w:tblPrEx>
          <w:tblCellMar>
            <w:top w:w="0" w:type="dxa"/>
            <w:left w:w="108" w:type="dxa"/>
            <w:bottom w:w="0" w:type="dxa"/>
            <w:right w:w="108" w:type="dxa"/>
          </w:tblCellMar>
        </w:tblPrEx>
        <w:trPr>
          <w:trHeight w:val="186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紫金县2026年锅炉使用单位监督检查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锅炉使用情况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全县锅炉使用单位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8家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61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紫金县2026年叉车监督抽查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对特种设备使用单位的监督检查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全县叉车使用单位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126家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5%</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73</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2026年工业产品生产许可证获证企业监督检查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抽查获证企业生产情况，是否持续保持取得生产许可的规定条件</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辖区内工业生产许可证获证企业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74</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2026年度机动车销售企业监管监督检查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机动车获得强制性产品认证情况检查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机动车销售企业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4</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2026年3月-11月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kern w:val="2"/>
                <w:sz w:val="22"/>
                <w:szCs w:val="22"/>
                <w:lang w:val="en-US" w:eastAsia="zh-CN" w:bidi="ar-SA"/>
              </w:rPr>
            </w:pPr>
            <w:r>
              <w:rPr>
                <w:rFonts w:hint="eastAsia" w:ascii="Times New Roman" w:hAnsi="Times New Roman" w:eastAsia="仿宋_GB2312" w:cs="仿宋_GB2312"/>
                <w:kern w:val="2"/>
                <w:sz w:val="22"/>
                <w:szCs w:val="22"/>
                <w:lang w:val="en-US" w:eastAsia="zh-CN" w:bidi="ar-SA"/>
              </w:rPr>
              <w:t>75</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广告行为检查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紫金县市场监督管理局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药品、医疗器械、保健食品、特殊医学用途配方食品广告主发布相关广告的审查批准情况检查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企业、个体工商户及其他经营单位</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约30家</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2026年10月31日前</w:t>
            </w:r>
          </w:p>
        </w:tc>
      </w:tr>
      <w:tr>
        <w:tblPrEx>
          <w:tblCellMar>
            <w:top w:w="0" w:type="dxa"/>
            <w:left w:w="108" w:type="dxa"/>
            <w:bottom w:w="0" w:type="dxa"/>
            <w:right w:w="108" w:type="dxa"/>
          </w:tblCellMar>
        </w:tblPrEx>
        <w:trPr>
          <w:trHeight w:val="360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76</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公共卫生随机监督抽查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对学校、公共场所、餐具饮具集中消毒服务单位、生活饮用水和涉水产品生产经营单位的卫生管理情况的监督抽查（抽检）。</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抽查学校、公共场所、餐具饮具集中消毒服务单位、生活饮用水集中供水单位、涉水产品生产经营单位等。（抽查对象范围和数量由国家卫健委统一在卫生监督信息系统抽取确定）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139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77</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消毒产品随机监督抽查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对消毒产品生产企业的生产条件、生产过程、原料卫生质量以及消毒产品卫生安全评价报告、标签（铭牌）、说明书等进行抽查。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抽查第一、二、三类消毒产品生产企业。（抽查对象范围和数量由国家卫健委统一在卫生监督信息系统抽取确定）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205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78</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传染病防治随机监督抽查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对医疗卫生机构开展预防接种、传染病报告、疫情控制、消毒隔离以及医疗废物处置等方面情况进行抽查，对其他违反卫生健康法律法规的行为进行检查。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抽查医疗机构、疾控机构、采供血机构、医学检验实验室（抽查对象范围和数量由国家卫健委统一在卫生监督信息系统抽取确定）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36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79</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医疗卫生随机监督抽查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对医疗卫生机构医疗诊治行为、机构人员资质、医疗质量控制、依法执业自查等方面情况进行抽查，对其他违反卫生健康法律法规的行为进行检查。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抽查医疗机构（含医疗美容机构）、采供血机构、母婴保健技术服务机构、医学检验实验室。（抽查对象范围和数量由国家卫健委统一在卫生监督信息系统抽取确定）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437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80</w:t>
            </w:r>
          </w:p>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用人单位职业卫生、放射卫生随机监督抽查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紫金县卫生健康局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对职业（放射）相关单位的职业病防治管理、职业健康检查、职业病诊断、放射诊疗管理、职业（放射）危害因素检测评价等方面工作开展情况进行抽查。</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抽查用人单位、放射诊疗机构、职业健康检查（诊断）机构、职业卫生和放射卫生技术服务机构。（抽查对象范围和数量由国家卫健委统一在卫生监督信息系统抽取确定）</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由国家卫健委统一在卫生监督系统抽取确定。</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2026年5—11月</w:t>
            </w:r>
          </w:p>
        </w:tc>
      </w:tr>
      <w:tr>
        <w:tblPrEx>
          <w:tblCellMar>
            <w:top w:w="0" w:type="dxa"/>
            <w:left w:w="108" w:type="dxa"/>
            <w:bottom w:w="0" w:type="dxa"/>
            <w:right w:w="108" w:type="dxa"/>
          </w:tblCellMar>
        </w:tblPrEx>
        <w:trPr>
          <w:trHeight w:val="3450"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81</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对生产建设项目水土保持实施情况的监管</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紫金县水务局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水土保持工作组织领导、日常工作管理、防治责任分解落实情况；2.水土保持初步设计与施工图设计落实情况；3.水土流失预防和治理措施的落实情况；4.水土保持工程监测、监理工作开展情况；5.违法违规堆放弃土弃渣及水土保持方案变更情况；6.水土保持补偿费缴纳情况；7.水行政主管部门历次监督检查意见的整改落实情况；8.水土保持单位工程验收和自查初验情况。</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被许可人</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2026年4月-12月</w:t>
            </w:r>
          </w:p>
        </w:tc>
      </w:tr>
      <w:tr>
        <w:tblPrEx>
          <w:tblCellMar>
            <w:top w:w="0" w:type="dxa"/>
            <w:left w:w="108" w:type="dxa"/>
            <w:bottom w:w="0" w:type="dxa"/>
            <w:right w:w="108" w:type="dxa"/>
          </w:tblCellMar>
        </w:tblPrEx>
        <w:trPr>
          <w:trHeight w:val="4705" w:hRule="atLeast"/>
          <w:jc w:val="center"/>
        </w:trPr>
        <w:tc>
          <w:tcPr>
            <w:tcW w:w="21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82</w:t>
            </w:r>
          </w:p>
        </w:tc>
        <w:tc>
          <w:tcPr>
            <w:tcW w:w="661"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取水许可监督检查</w:t>
            </w:r>
          </w:p>
        </w:tc>
        <w:tc>
          <w:tcPr>
            <w:tcW w:w="767"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紫金县水务局</w:t>
            </w:r>
          </w:p>
        </w:tc>
        <w:tc>
          <w:tcPr>
            <w:tcW w:w="134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是否按照取水申请批准文件建设取水工程或者设施；2.是否按照批准的取水许可规定条件取水，并按批准的用途用水；3.是否按时申报计划用水，是否按照批准的计划取水，是否如实提供取用水有关情况；4.是否执行审批机关作出的取水量限制决定，或者未经批准擅自转让取水权；5.是否安装计量设施（在线监测）并保证其运行正常；6.是否按照要求退水；7.是否依法缴纳水资源税；8.是否按照规定时限向审批机关提出延续取水许可申请；9.需要调整计划用水总量的，是否依法向管理机关提出调整，并取得核定或者备案文件。</w:t>
            </w:r>
          </w:p>
        </w:tc>
        <w:tc>
          <w:tcPr>
            <w:tcW w:w="275"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不定向</w:t>
            </w:r>
          </w:p>
        </w:tc>
        <w:tc>
          <w:tcPr>
            <w:tcW w:w="629"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县级已发证取水户</w:t>
            </w:r>
          </w:p>
        </w:tc>
        <w:tc>
          <w:tcPr>
            <w:tcW w:w="38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30</w:t>
            </w:r>
          </w:p>
        </w:tc>
        <w:tc>
          <w:tcPr>
            <w:tcW w:w="336"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10%</w:t>
            </w:r>
          </w:p>
        </w:tc>
        <w:tc>
          <w:tcPr>
            <w:tcW w:w="378" w:type="pct"/>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2026年4月-12月</w:t>
            </w:r>
          </w:p>
        </w:tc>
      </w:tr>
    </w:tbl>
    <w:p>
      <w:pPr>
        <w:keepNext w:val="0"/>
        <w:keepLines w:val="0"/>
        <w:pageBreakBefore w:val="0"/>
        <w:widowControl/>
        <w:kinsoku/>
        <w:wordWrap/>
        <w:overflowPunct/>
        <w:topLinePunct w:val="0"/>
        <w:autoSpaceDE/>
        <w:autoSpaceDN/>
        <w:bidi w:val="0"/>
        <w:adjustRightInd/>
        <w:snapToGrid/>
        <w:spacing w:line="320" w:lineRule="exact"/>
        <w:ind w:right="0" w:rightChars="0" w:firstLine="0" w:firstLineChars="0"/>
        <w:jc w:val="center"/>
        <w:textAlignment w:val="auto"/>
        <w:rPr>
          <w:rFonts w:hint="default" w:ascii="Times New Roman" w:hAnsi="Times New Roman" w:eastAsia="仿宋_GB2312" w:cs="仿宋_GB2312"/>
          <w:sz w:val="22"/>
          <w:szCs w:val="2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MTAxZDZlYWE4NDgwMTJhZDlkYWU1NjkzOGZjYjAifQ=="/>
  </w:docVars>
  <w:rsids>
    <w:rsidRoot w:val="22A25462"/>
    <w:rsid w:val="0109449D"/>
    <w:rsid w:val="013F7A9A"/>
    <w:rsid w:val="02E903CF"/>
    <w:rsid w:val="02EF2E40"/>
    <w:rsid w:val="031E7891"/>
    <w:rsid w:val="039D6C50"/>
    <w:rsid w:val="03D52F56"/>
    <w:rsid w:val="048033EF"/>
    <w:rsid w:val="048A766C"/>
    <w:rsid w:val="05592933"/>
    <w:rsid w:val="06655B8A"/>
    <w:rsid w:val="066E2C1A"/>
    <w:rsid w:val="08E1269F"/>
    <w:rsid w:val="09CF6AA4"/>
    <w:rsid w:val="0A3960E0"/>
    <w:rsid w:val="0B8C3FEE"/>
    <w:rsid w:val="0CC214DB"/>
    <w:rsid w:val="0EF27891"/>
    <w:rsid w:val="0FD72D02"/>
    <w:rsid w:val="10517053"/>
    <w:rsid w:val="107B2FAF"/>
    <w:rsid w:val="10884FF8"/>
    <w:rsid w:val="10C2608D"/>
    <w:rsid w:val="122711D7"/>
    <w:rsid w:val="12674855"/>
    <w:rsid w:val="12691D23"/>
    <w:rsid w:val="134925B4"/>
    <w:rsid w:val="13705313"/>
    <w:rsid w:val="13F02270"/>
    <w:rsid w:val="14B4083D"/>
    <w:rsid w:val="14DB73DF"/>
    <w:rsid w:val="15907EEF"/>
    <w:rsid w:val="15AF5119"/>
    <w:rsid w:val="16E93262"/>
    <w:rsid w:val="16F636E0"/>
    <w:rsid w:val="17191F74"/>
    <w:rsid w:val="17730085"/>
    <w:rsid w:val="18DB3999"/>
    <w:rsid w:val="195A6DE8"/>
    <w:rsid w:val="19A10699"/>
    <w:rsid w:val="19C553D6"/>
    <w:rsid w:val="19D47BEF"/>
    <w:rsid w:val="1A065E3F"/>
    <w:rsid w:val="1B214C6B"/>
    <w:rsid w:val="1C124C1B"/>
    <w:rsid w:val="1C3928DC"/>
    <w:rsid w:val="1CF2553E"/>
    <w:rsid w:val="1E0345E3"/>
    <w:rsid w:val="1E993340"/>
    <w:rsid w:val="1F8345C2"/>
    <w:rsid w:val="1FE86CE6"/>
    <w:rsid w:val="202231C7"/>
    <w:rsid w:val="202B7A06"/>
    <w:rsid w:val="22A25462"/>
    <w:rsid w:val="231A0926"/>
    <w:rsid w:val="238969DB"/>
    <w:rsid w:val="24466D8E"/>
    <w:rsid w:val="24BB25D0"/>
    <w:rsid w:val="26B03985"/>
    <w:rsid w:val="26C979A6"/>
    <w:rsid w:val="296A3769"/>
    <w:rsid w:val="29AD116F"/>
    <w:rsid w:val="2A0A5C85"/>
    <w:rsid w:val="2A44644C"/>
    <w:rsid w:val="2A480FED"/>
    <w:rsid w:val="2C1837E7"/>
    <w:rsid w:val="2C1D7C6F"/>
    <w:rsid w:val="2CBA0563"/>
    <w:rsid w:val="2DBB6416"/>
    <w:rsid w:val="2DF80479"/>
    <w:rsid w:val="2F922799"/>
    <w:rsid w:val="30A403BC"/>
    <w:rsid w:val="314A536E"/>
    <w:rsid w:val="315D3F87"/>
    <w:rsid w:val="329245F1"/>
    <w:rsid w:val="33226B1A"/>
    <w:rsid w:val="332E2F85"/>
    <w:rsid w:val="33AE6D56"/>
    <w:rsid w:val="340071A3"/>
    <w:rsid w:val="34207846"/>
    <w:rsid w:val="343A08B6"/>
    <w:rsid w:val="344C23E9"/>
    <w:rsid w:val="344C4197"/>
    <w:rsid w:val="34607C42"/>
    <w:rsid w:val="34DA79F4"/>
    <w:rsid w:val="350C2516"/>
    <w:rsid w:val="362706E4"/>
    <w:rsid w:val="36F9612C"/>
    <w:rsid w:val="371C068F"/>
    <w:rsid w:val="3789032B"/>
    <w:rsid w:val="38926838"/>
    <w:rsid w:val="398E557D"/>
    <w:rsid w:val="39AB7238"/>
    <w:rsid w:val="3A717D6E"/>
    <w:rsid w:val="3A78593F"/>
    <w:rsid w:val="3AAB658A"/>
    <w:rsid w:val="3AD80A17"/>
    <w:rsid w:val="3AF92B9E"/>
    <w:rsid w:val="3AFD174C"/>
    <w:rsid w:val="3CB43221"/>
    <w:rsid w:val="3CF3200B"/>
    <w:rsid w:val="3D7106DB"/>
    <w:rsid w:val="3EDB4A95"/>
    <w:rsid w:val="3FFF0C57"/>
    <w:rsid w:val="40926FFF"/>
    <w:rsid w:val="40942502"/>
    <w:rsid w:val="41EC3DB8"/>
    <w:rsid w:val="41F145CF"/>
    <w:rsid w:val="425275F5"/>
    <w:rsid w:val="426B25D4"/>
    <w:rsid w:val="42706590"/>
    <w:rsid w:val="42A55765"/>
    <w:rsid w:val="42E303BC"/>
    <w:rsid w:val="439105CF"/>
    <w:rsid w:val="45AC7C5B"/>
    <w:rsid w:val="466E4440"/>
    <w:rsid w:val="46B33F80"/>
    <w:rsid w:val="46C23027"/>
    <w:rsid w:val="46DA1AD6"/>
    <w:rsid w:val="472F5BD9"/>
    <w:rsid w:val="475D5424"/>
    <w:rsid w:val="476F3E2E"/>
    <w:rsid w:val="477261B2"/>
    <w:rsid w:val="47847862"/>
    <w:rsid w:val="47EB386F"/>
    <w:rsid w:val="481203CA"/>
    <w:rsid w:val="48C61172"/>
    <w:rsid w:val="493D00FA"/>
    <w:rsid w:val="4A8F075E"/>
    <w:rsid w:val="4B3F217F"/>
    <w:rsid w:val="4BFE1C3A"/>
    <w:rsid w:val="4C5440D8"/>
    <w:rsid w:val="4D2C0BB1"/>
    <w:rsid w:val="4D765FA3"/>
    <w:rsid w:val="4E005F07"/>
    <w:rsid w:val="4E6536AD"/>
    <w:rsid w:val="4EC85950"/>
    <w:rsid w:val="4ECA3267"/>
    <w:rsid w:val="51334745"/>
    <w:rsid w:val="519669E8"/>
    <w:rsid w:val="523A74F6"/>
    <w:rsid w:val="53D7279A"/>
    <w:rsid w:val="541327B7"/>
    <w:rsid w:val="545F13F9"/>
    <w:rsid w:val="55C909CB"/>
    <w:rsid w:val="563F3E8D"/>
    <w:rsid w:val="597B335B"/>
    <w:rsid w:val="59C67F57"/>
    <w:rsid w:val="5A70032F"/>
    <w:rsid w:val="5B553EE5"/>
    <w:rsid w:val="5B9D664B"/>
    <w:rsid w:val="5BE30FD5"/>
    <w:rsid w:val="5BF06255"/>
    <w:rsid w:val="5BF949F3"/>
    <w:rsid w:val="5DEF6C4B"/>
    <w:rsid w:val="5DF20031"/>
    <w:rsid w:val="5E807125"/>
    <w:rsid w:val="5ECC5D50"/>
    <w:rsid w:val="5F684676"/>
    <w:rsid w:val="5FEF45F4"/>
    <w:rsid w:val="60376493"/>
    <w:rsid w:val="605338C5"/>
    <w:rsid w:val="60F569C1"/>
    <w:rsid w:val="614F54B5"/>
    <w:rsid w:val="618A317B"/>
    <w:rsid w:val="61E97F8F"/>
    <w:rsid w:val="62122FF4"/>
    <w:rsid w:val="626F6172"/>
    <w:rsid w:val="62762D19"/>
    <w:rsid w:val="643701A4"/>
    <w:rsid w:val="64952D13"/>
    <w:rsid w:val="65156AE4"/>
    <w:rsid w:val="65C451A4"/>
    <w:rsid w:val="65E14B73"/>
    <w:rsid w:val="679C650C"/>
    <w:rsid w:val="67D0475F"/>
    <w:rsid w:val="6972161C"/>
    <w:rsid w:val="69FD3A6F"/>
    <w:rsid w:val="6AA51FE9"/>
    <w:rsid w:val="6AD17AA8"/>
    <w:rsid w:val="6AFC5C0F"/>
    <w:rsid w:val="6BE47193"/>
    <w:rsid w:val="6C5817A8"/>
    <w:rsid w:val="6D195F0B"/>
    <w:rsid w:val="6ED2525C"/>
    <w:rsid w:val="6F0931B7"/>
    <w:rsid w:val="6F282B2F"/>
    <w:rsid w:val="6FFD1F9E"/>
    <w:rsid w:val="701423F0"/>
    <w:rsid w:val="70B30FF5"/>
    <w:rsid w:val="70F9671F"/>
    <w:rsid w:val="71306040"/>
    <w:rsid w:val="71411B5D"/>
    <w:rsid w:val="71C224FB"/>
    <w:rsid w:val="72414F83"/>
    <w:rsid w:val="735B56D0"/>
    <w:rsid w:val="73F1738A"/>
    <w:rsid w:val="740C77A7"/>
    <w:rsid w:val="7421291C"/>
    <w:rsid w:val="746133B9"/>
    <w:rsid w:val="7536625B"/>
    <w:rsid w:val="7581079F"/>
    <w:rsid w:val="75D82E83"/>
    <w:rsid w:val="760A7538"/>
    <w:rsid w:val="76993924"/>
    <w:rsid w:val="773C312D"/>
    <w:rsid w:val="77D13620"/>
    <w:rsid w:val="787B4617"/>
    <w:rsid w:val="78B64B97"/>
    <w:rsid w:val="791D5841"/>
    <w:rsid w:val="79400E79"/>
    <w:rsid w:val="7BA45C33"/>
    <w:rsid w:val="7C4D1734"/>
    <w:rsid w:val="7C923CDE"/>
    <w:rsid w:val="7CF44998"/>
    <w:rsid w:val="7D2863F0"/>
    <w:rsid w:val="7D52384C"/>
    <w:rsid w:val="7E4E00D8"/>
    <w:rsid w:val="7E741B85"/>
    <w:rsid w:val="7EDA732B"/>
    <w:rsid w:val="7F282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next w:val="1"/>
    <w:qFormat/>
    <w:uiPriority w:val="0"/>
    <w:pPr>
      <w:ind w:firstLine="420" w:firstLineChars="200"/>
    </w:pPr>
  </w:style>
  <w:style w:type="paragraph" w:customStyle="1" w:styleId="6">
    <w:name w:val="_Style 5"/>
    <w:basedOn w:val="1"/>
    <w:qFormat/>
    <w:uiPriority w:val="0"/>
    <w:pPr>
      <w:ind w:firstLine="200" w:firstLineChars="200"/>
    </w:pPr>
    <w:rPr>
      <w:rFonts w:ascii="Times New Roman" w:hAnsi="Times New Roman" w:eastAsia="宋体" w:cs="Times New Roman"/>
      <w:sz w:val="24"/>
    </w:rPr>
  </w:style>
  <w:style w:type="character" w:customStyle="1" w:styleId="7">
    <w:name w:val="font21"/>
    <w:basedOn w:val="5"/>
    <w:qFormat/>
    <w:uiPriority w:val="0"/>
    <w:rPr>
      <w:rFonts w:ascii="宋体" w:hAnsi="宋体" w:eastAsia="宋体" w:cs="宋体"/>
      <w:color w:val="000000"/>
      <w:sz w:val="20"/>
      <w:szCs w:val="20"/>
      <w:u w:val="non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河源市工商局</Company>
  <Pages>48</Pages>
  <Words>12719</Words>
  <Characters>13435</Characters>
  <Lines>0</Lines>
  <Paragraphs>0</Paragraphs>
  <TotalTime>2</TotalTime>
  <ScaleCrop>false</ScaleCrop>
  <LinksUpToDate>false</LinksUpToDate>
  <CharactersWithSpaces>13440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2022-02-22T07:43:00Z</dcterms:created>
  <dc:creator>陈辉煌</dc:creator>
  <cp:lastModifiedBy>袁雄杰</cp:lastModifiedBy>
  <dcterms:modified xsi:type="dcterms:W3CDTF">2026-04-28T02:39:43Z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3F682B5D29C242B490A52B4EAB8A33DE</vt:lpwstr>
  </property>
  <property fmtid="{D5CDD505-2E9C-101B-9397-08002B2CF9AE}" pid="4" name="KSOTemplateDocerSaveRecord">
    <vt:lpwstr>eyJoZGlkIjoiYzA5MmI3ZmE3YTk5OWM3ZWFlYmE2MDE5NDIyMzQzNTAiLCJ1c2VySWQiOiIxNzMwNDc3ODIxIn0=</vt:lpwstr>
  </property>
</Properties>
</file>