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leftChars="0" w:right="0" w:firstLine="0" w:firstLineChars="0"/>
        <w:jc w:val="center"/>
        <w:rPr>
          <w:rFonts w:hint="eastAsia" w:ascii="微软雅黑" w:hAnsi="微软雅黑" w:eastAsia="微软雅黑" w:cs="微软雅黑"/>
          <w:i w:val="0"/>
          <w:caps w:val="0"/>
          <w:color w:val="333333"/>
          <w:spacing w:val="0"/>
          <w:kern w:val="0"/>
          <w:sz w:val="36"/>
          <w:szCs w:val="36"/>
          <w:shd w:val="clear" w:color="auto" w:fill="FFFFFF"/>
          <w:lang w:val="en-US" w:eastAsia="zh-CN" w:bidi="ar"/>
        </w:rPr>
      </w:pPr>
      <w:r>
        <w:rPr>
          <w:rFonts w:hint="eastAsia" w:ascii="方正小标宋简体" w:hAnsi="Times New Roman" w:eastAsia="方正小标宋简体"/>
          <w:sz w:val="36"/>
          <w:szCs w:val="36"/>
          <w:lang w:val="en-US" w:eastAsia="zh-CN"/>
        </w:rPr>
        <w:t>紫金县2026年度本部门“双随机、一公开”抽查计划</w:t>
      </w:r>
    </w:p>
    <w:tbl>
      <w:tblPr>
        <w:tblStyle w:val="4"/>
        <w:tblW w:w="5281" w:type="pct"/>
        <w:jc w:val="center"/>
        <w:tblLayout w:type="autofit"/>
        <w:tblCellMar>
          <w:top w:w="0" w:type="dxa"/>
          <w:left w:w="108" w:type="dxa"/>
          <w:bottom w:w="0" w:type="dxa"/>
          <w:right w:w="108" w:type="dxa"/>
        </w:tblCellMar>
      </w:tblPr>
      <w:tblGrid>
        <w:gridCol w:w="656"/>
        <w:gridCol w:w="1981"/>
        <w:gridCol w:w="2298"/>
        <w:gridCol w:w="4030"/>
        <w:gridCol w:w="824"/>
        <w:gridCol w:w="1885"/>
        <w:gridCol w:w="1157"/>
        <w:gridCol w:w="1007"/>
        <w:gridCol w:w="1133"/>
      </w:tblGrid>
      <w:tr>
        <w:tblPrEx>
          <w:tblCellMar>
            <w:top w:w="0" w:type="dxa"/>
            <w:left w:w="108" w:type="dxa"/>
            <w:bottom w:w="0" w:type="dxa"/>
            <w:right w:w="108" w:type="dxa"/>
          </w:tblCellMar>
        </w:tblPrEx>
        <w:trPr>
          <w:trHeight w:val="75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仿宋_GB2312" w:cs="仿宋_GB2312"/>
                <w:b/>
                <w:bCs/>
                <w:sz w:val="21"/>
                <w:szCs w:val="21"/>
                <w:lang w:eastAsia="zh-CN"/>
              </w:rPr>
            </w:pPr>
            <w:r>
              <w:rPr>
                <w:rFonts w:hint="eastAsia" w:ascii="宋体" w:hAnsi="宋体" w:eastAsia="宋体" w:cs="宋体"/>
                <w:b/>
                <w:bCs/>
                <w:color w:val="auto"/>
                <w:kern w:val="0"/>
                <w:sz w:val="21"/>
                <w:szCs w:val="21"/>
                <w:lang w:eastAsia="zh-CN"/>
              </w:rPr>
              <w:t>序号</w:t>
            </w:r>
          </w:p>
        </w:tc>
        <w:tc>
          <w:tcPr>
            <w:tcW w:w="66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仿宋_GB2312" w:cs="仿宋_GB2312"/>
                <w:b/>
                <w:bCs/>
                <w:sz w:val="21"/>
                <w:szCs w:val="21"/>
                <w:lang w:eastAsia="zh-CN"/>
              </w:rPr>
            </w:pPr>
            <w:r>
              <w:rPr>
                <w:rFonts w:hint="eastAsia" w:ascii="宋体" w:hAnsi="宋体" w:eastAsia="宋体" w:cs="宋体"/>
                <w:b/>
                <w:bCs/>
                <w:color w:val="auto"/>
                <w:kern w:val="0"/>
                <w:sz w:val="21"/>
                <w:szCs w:val="21"/>
              </w:rPr>
              <w:t>抽查任务名称</w:t>
            </w:r>
          </w:p>
        </w:tc>
        <w:tc>
          <w:tcPr>
            <w:tcW w:w="767"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实施部门</w:t>
            </w:r>
          </w:p>
        </w:tc>
        <w:tc>
          <w:tcPr>
            <w:tcW w:w="134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仿宋_GB2312" w:cs="仿宋_GB2312"/>
                <w:b/>
                <w:bCs/>
                <w:sz w:val="21"/>
                <w:szCs w:val="21"/>
                <w:lang w:eastAsia="zh-CN"/>
              </w:rPr>
            </w:pPr>
            <w:r>
              <w:rPr>
                <w:rFonts w:hint="eastAsia" w:ascii="宋体" w:hAnsi="宋体" w:eastAsia="宋体" w:cs="宋体"/>
                <w:b/>
                <w:bCs/>
                <w:color w:val="auto"/>
                <w:kern w:val="0"/>
                <w:sz w:val="21"/>
                <w:szCs w:val="21"/>
              </w:rPr>
              <w:t>抽查事项</w:t>
            </w:r>
          </w:p>
        </w:tc>
        <w:tc>
          <w:tcPr>
            <w:tcW w:w="27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抽查类型</w:t>
            </w:r>
          </w:p>
        </w:tc>
        <w:tc>
          <w:tcPr>
            <w:tcW w:w="62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仿宋_GB2312"/>
                <w:b/>
                <w:bCs/>
                <w:sz w:val="21"/>
                <w:szCs w:val="21"/>
                <w:lang w:eastAsia="zh-CN"/>
              </w:rPr>
            </w:pPr>
            <w:r>
              <w:rPr>
                <w:rFonts w:hint="eastAsia" w:ascii="宋体" w:hAnsi="宋体" w:eastAsia="宋体" w:cs="宋体"/>
                <w:b/>
                <w:bCs/>
                <w:color w:val="auto"/>
                <w:kern w:val="0"/>
                <w:sz w:val="21"/>
                <w:szCs w:val="21"/>
              </w:rPr>
              <w:t>抽查对象</w:t>
            </w:r>
            <w:r>
              <w:rPr>
                <w:rFonts w:hint="eastAsia" w:ascii="宋体" w:hAnsi="宋体" w:cs="宋体"/>
                <w:b/>
                <w:bCs/>
                <w:color w:val="auto"/>
                <w:kern w:val="0"/>
                <w:sz w:val="21"/>
                <w:szCs w:val="21"/>
                <w:lang w:eastAsia="zh-CN"/>
              </w:rPr>
              <w:t>范围</w:t>
            </w:r>
          </w:p>
        </w:tc>
        <w:tc>
          <w:tcPr>
            <w:tcW w:w="38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抽查对象总数</w:t>
            </w:r>
          </w:p>
        </w:tc>
        <w:tc>
          <w:tcPr>
            <w:tcW w:w="33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eastAsia="zh-CN"/>
              </w:rPr>
              <w:t>总抽查比例</w:t>
            </w:r>
          </w:p>
        </w:tc>
        <w:tc>
          <w:tcPr>
            <w:tcW w:w="37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仿宋_GB2312"/>
                <w:b/>
                <w:bCs/>
                <w:sz w:val="21"/>
                <w:szCs w:val="21"/>
                <w:lang w:eastAsia="zh-CN"/>
              </w:rPr>
            </w:pPr>
            <w:r>
              <w:rPr>
                <w:rFonts w:hint="eastAsia" w:ascii="宋体" w:hAnsi="宋体" w:eastAsia="宋体" w:cs="宋体"/>
                <w:b/>
                <w:bCs/>
                <w:color w:val="auto"/>
                <w:kern w:val="0"/>
                <w:sz w:val="21"/>
                <w:szCs w:val="21"/>
              </w:rPr>
              <w:t>抽</w:t>
            </w:r>
            <w:r>
              <w:rPr>
                <w:rFonts w:hint="eastAsia" w:ascii="宋体" w:hAnsi="宋体" w:cs="宋体"/>
                <w:b/>
                <w:bCs/>
                <w:color w:val="auto"/>
                <w:kern w:val="0"/>
                <w:sz w:val="21"/>
                <w:szCs w:val="21"/>
                <w:lang w:eastAsia="zh-CN"/>
              </w:rPr>
              <w:t>查时间</w:t>
            </w:r>
          </w:p>
        </w:tc>
      </w:tr>
      <w:tr>
        <w:tblPrEx>
          <w:tblCellMar>
            <w:top w:w="0" w:type="dxa"/>
            <w:left w:w="108" w:type="dxa"/>
            <w:bottom w:w="0" w:type="dxa"/>
            <w:right w:w="108" w:type="dxa"/>
          </w:tblCellMar>
        </w:tblPrEx>
        <w:trPr>
          <w:trHeight w:val="102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小额贷款公司日常检查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县政府办公室</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公司日常检查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全县小额贷款有限公司</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全年不定期</w:t>
            </w:r>
          </w:p>
        </w:tc>
      </w:tr>
      <w:tr>
        <w:tblPrEx>
          <w:tblCellMar>
            <w:top w:w="0" w:type="dxa"/>
            <w:left w:w="108" w:type="dxa"/>
            <w:bottom w:w="0" w:type="dxa"/>
            <w:right w:w="108" w:type="dxa"/>
          </w:tblCellMar>
        </w:tblPrEx>
        <w:trPr>
          <w:trHeight w:val="146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2026年度抽查宗教活动场所</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县民族宗教事务局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宗教活动场所安全生产（消防安全）落实情况、“四进”宗教活动场所情况及遵守法律、法规、规章情况检查等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紫金县宗教活动场所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661"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紫金县发展和改革局节能监察</w:t>
            </w:r>
          </w:p>
        </w:tc>
        <w:tc>
          <w:tcPr>
            <w:tcW w:w="767"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紫金县发展和改革局</w:t>
            </w:r>
          </w:p>
        </w:tc>
        <w:tc>
          <w:tcPr>
            <w:tcW w:w="1345"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检查高能耗企业是否存在违法违规用能行为</w:t>
            </w:r>
          </w:p>
        </w:tc>
        <w:tc>
          <w:tcPr>
            <w:tcW w:w="275"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2021年以来本地区通过节能审查企业</w:t>
            </w:r>
          </w:p>
        </w:tc>
        <w:tc>
          <w:tcPr>
            <w:tcW w:w="386"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36"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2026年6月-10月</w:t>
            </w:r>
          </w:p>
        </w:tc>
      </w:tr>
      <w:tr>
        <w:tblPrEx>
          <w:tblCellMar>
            <w:top w:w="0" w:type="dxa"/>
            <w:left w:w="108" w:type="dxa"/>
            <w:bottom w:w="0" w:type="dxa"/>
            <w:right w:w="108" w:type="dxa"/>
          </w:tblCellMar>
        </w:tblPrEx>
        <w:trPr>
          <w:trHeight w:val="1158"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宾馆、旅店治安安全情况的检查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各类宾馆、旅店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6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保安行业相关单位抽查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保安从业单位及其保安服务活动情况的检查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紫金县保安行业相关单位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768"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爆破作业单位抽查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民用爆破物仓储情况的检、爆破作业单位作业情况的检查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紫金县爆破作业单位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98"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易制毒化学品从业单位随机抽查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对易制毒化学品生产、经营、购买、运输、仓储等情况进行监督</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151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社会组织防范化解重大风险抽查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紫金县民政局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年度报告、信息公开、内部治理、财务状况、业务活动等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全县社会组织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54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紫金县司法局2026年度律师事务所“双随机、 一公开”专项检查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紫金县司法局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律师事务所工作规范管理情况；律师队伍建设情况；业务活动开展和执业表现情况。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全县律师事务所和律师</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2026年11月前</w:t>
            </w:r>
          </w:p>
        </w:tc>
      </w:tr>
      <w:tr>
        <w:tblPrEx>
          <w:tblCellMar>
            <w:top w:w="0" w:type="dxa"/>
            <w:left w:w="108" w:type="dxa"/>
            <w:bottom w:w="0" w:type="dxa"/>
            <w:right w:w="108" w:type="dxa"/>
          </w:tblCellMar>
        </w:tblPrEx>
        <w:trPr>
          <w:trHeight w:val="166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 xml:space="preserve"> 10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用人单位劳动用工情况检查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县人力资源和社会保障局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规章制度的检查、劳动合同及招用工管理、工作时间和休息休假、禁止使用童工、工资支付和最低工资标准</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全县用人单位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约4000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0.2%</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15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土地复垦活动抽查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紫金县自然资源局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临时用地单位土地复垦情况抽查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县内临时用地使用单位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测绘质量监督检查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紫金县自然资源局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1.测绘资质单位测绘成果质量情况；2.测绘安全生产管理情况。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乙级测绘资质单位为主，不与国家和省、市级检查对象重复。同时，重点加强对外地测绘资质单位的测绘质量监督检查。</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对排放污染物的企业事业单位和其他生产经营者的行政检查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生态环境局紫金分局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排污许可证后监管为核心，重点围绕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紫金县污染源排放单位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774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19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建筑市场监督执法检查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紫金县住房和城乡建设局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房屋市政工程工人工资支付的检查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建筑市场从业单位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县辖区内在建项目数量待定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每年10％抽查</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道路旅客运输经营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行业监督</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1.道路客运经营者是否具备道路运输经营许可条件行业监督行政检查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2.道路客运经营者是否过分停运行业监督行政检查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3..道路客运经营者是否非法转让、出租道路运输经营许可证件行业监督行政检查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4.道路客运经营者是否按承诺聘用与其经营业务相适应并且符合道路运输条例第九条规定的经营性道路旅运输驾驶员行业监督行政检查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5.道路客运经营者是否加强驾驶人等从业人员管理行业监督行政检查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6.道路客运经营者是否开展安全生产教育与培训行业监督行政检查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7.道路客运经营者是否在复工复产前对从业人员开展安全注意事项、安全防范措施、应急避险措施等安全生产教育培训行业监督行政检查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8.道路客运经营者是否对离岗六个月以上或者换岗的从业人员进行专门的安全生产教育和培训行业监督行政检查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9.道路客运经营者是否投入承诺的与其经营业务相适应并经检测合格的客车行业监督行政检查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10.道路客运经营者车辆是否过分逾期未进行年度审验行业监督行政检查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11.道路客运经营者是否按照“一车一档”建立车辆技术档案以及是否内容齐全行业监督行政检查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12.道路客运经营者车辆是否按要求进行维护和检测行业监督行政检查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13.道路客运经营者是否足额配备了专职的监控人员及履职情况行业监督行政检查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14.道路客运经营者是否使用符合标准的监控平台，且监控平台接入联网联控系统，并按规定上传道路运输车辆动态信息行业监督行政检查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15.道路客运经营者是否建立健全并严格落实动态监控管理相关制度行业监督行政检查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16.道路客运经营者企业正在运营的车辆是否均已上线，是否存在卫星定位装置故障但仍在运营的车辆行业监督行政检查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道路旅</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客运输</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汽车客运</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站经营行</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业监督行</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1.道路客运站经营者是否具备道路运输经营许可条件行业监督行政检查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2.道路客运站经营者是否非法转让、出租道路运输经营许可证件行业监督行政检查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3.道路客运站经营者是否允许超载车辆或者未经安全检查及检查不合格的车辆出站行业监督行政检查</w:t>
            </w:r>
          </w:p>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4.道路客运站经营者是否改变客运站基本用途和服务功能行业监督行政检查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5.道路客运站经营者是否公布运输线路、配客站点、班次、发车时间、票价等信息行业监督行政检查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6.一类、二类客运班线的经营者或者其委托的售票单位、客运站经营者是否按规定对客户身份进行查验，或者对身份不明、拒绝身份查验的客户提供服务行业监督行政检查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客运站经营者是否有健全的业务操作规程和安全管理制度，包括服务规范、安全生产操作规程、车辆发车前例检以及国家规定的危险物品及其他禁止携带的物品查堵、人员和车辆进出站安全管理等安全生产监督检查的制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8.道路客运站经营者是否按照规定制定突发事件应急预案行业监督行政检查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9.道路客运站经营者是否存在重大运输安全隐患等情形，导致不具备安全生产条件行业监督行政检查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10.道路客运站经营者是否维护好各种设施、设备，保持其正常使用行业监督行政检查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11.道路客运站经营者是否按照交通运输主管部门的规定报送运营信息行业监督行政检查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汽车客</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运站</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道路货物</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运输经营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行业监督</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1.道路普通货物运输经营者是否具备道路运输经营许可条件行业监督行政检查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2.道路普通货物运输经营者是否非法转让、出租道路运输经营许可证件行业监督行政检查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3.道路普通货物运输经营者从事站场经营、货运代理（代办）等货运相关服务的，是否具备备案条件，并按规定进行备案行业监督行政检查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4.道路普通货物运输经营者参加货运经营的驾驶员是否取得从业资格行业监督行政检查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5.道路普通货物运输经营者是否落实驾驶人等从业人员管理行业监督行政检查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6.道路普通货物运输经营者是否对从业人员、被派遣劳动者、实习学生进行落实安全生产教育与培训行业监督行政检查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7.道路普通货物运输经营者车辆是否按照规定每12个月或者6个月进行1次检验检测和技术等级评定，车辆技术等级是否达到二级以上行业监督行政检查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8.道路普通货物运输经营者是否使用报废、擅自改装、拼装、检测不合格以及其他不符合国家规定的车辆行业监督行政检查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9.道路普通货物运输经营者是否建立车辆技术档案，且及时更新、记录详实行业监督行政检查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道路货</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物运输</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341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公路大件运输行业监督行政检查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1.大件运输被许可人和参与人资质保持情况行业监督行政检查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2.大件运输被许可人和参与人责任保证体系行业监督行政检查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3.大件运输被许可人和参与人车辆技术和各类安全生产台账行业监督行政检查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4.大件运输被许可人和参与人安全操作规程与现场作业管理行业监督行政检</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公路大件运输被许可人和参与人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涉路施工活动行业监督行政检查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1.涉路施工活动建设单位是否存在行政许可有效期届满三十日前未经延续许可进行涉路施工活动的行为行业监督行政检查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2.涉路施工活动建设单位是否存在未按照许可的设计和施工方案进行施工作业的行为行业监督行政检查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3.涉路施工活动建设单位是否存在未落实保障公路、公路附属设施质量和安全的防护措施的行为行业监督行政检查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4.涉路工程设施的所有人、管理人是否维护和管理涉路工程设施，并确保工程设施不影响公路的完好、安全和畅通行业监督行政检查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涉路施工被许可人和实施人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公路水运工程建设项目招标投标等市场行为行业监督行政检查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1.建设单位是否按照公开、公平、公正的原则，依法组织公路建设项目的招标投标工作；是否规避招标，对潜在投标人和投标人实行歧视政策，实行地方保护和暗箱操作行业监督行政检查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2.建设单位是否依法选择勘察、设计、施工、咨询、监理单位，采购与工程建设有关的重要设备、材料，办理施工许可，组织项目实施，组织项目交工验收，准备项目竣工验收和后评价行业监督行政检查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3.公路建设项目设计文件是否满足审批相关条件行业监督行政检查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4.建设单位是否擅自修改工程设计行业监督行政检查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5.建设单位是否对未进行交工验收、交工验收不合格或没有备案的工程开放交通进行试运营行业监督行政检查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6.建设单位是否随意压缩建设工期，指定分包和指定采购行业监督行政检查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7.公路建设项目是否满足竣工验收相关条件行业监督行政检查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8.建设单位是否规范公路建设资金监督管理行业监督行政检查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9.建设工程勘察设计单位是否满足资质许可条件（行业审查）行业监督行政检查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10.建设工程勘察、设计注册执业人员和其他专业技术人员是否受聘于一个建设工程勘察、设计单位或者同时受聘于两个以上建设工程勘察、设计单位，从事建设工程勘察、设计活动行业监督行政检查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11.勘察、设计单位是否依据项目批准文件，城乡规划及专业规划，国家规定的建设工程勘察、设计深度要求编制建设工程勘察、设计文件行业监督行政检查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12.勘察、设计单位注册建设工程勘察、设计人员是否未经注册，擅自以注册建设工程勘察、设计人员的名义从事建设工程勘察、设计活动行业监督行政检查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13.公路工程施工企业是否满足资质许可条件（行业审查）行业监督行政检查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14.施工单位是否按批准的设计文件施工，擅自修改工程设计；施工单位在变更设计中是否弄虚作假的行业监督行政检查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15.未经监理工程师签认，施工单位是否将建筑材料、构件和设备在工程上使用或安装，是否进行下一道工序施工行业监督行政检查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16.施工单位是否按照合同约定组织施工，管理和技术人员施工设备应当及时到位，以满足工程需要；是否均衡组织生产，加强现场管理，确保工程质量和进度，做到文明施工和安全生产行业监督行政检查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17.施工单位是否严格执行国家和地方有关环境保护和土地管理的规定，采取有效措施保护环境和节约用地行业监督行政检查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19.公路工程监理企业是否满足资质许可的相关条件行业监督行政检查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20.公路工程监理企业监理工程师（交通运输工程）是否满足注册条件行业监督行政检查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22.工程实施中，监理单位是否加强对职工的教育与培训，按照国家有关规定建立健全质量和安全保证体系，落实质量和安全生产责任制，保证工程质量和工程安全行业监督行政检查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公路水运工程建设项目招标人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公路水运工程质量安全生产行业监督行政检查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1.建设单位是否向有关的勘察、设计、施工、工程监理等单位提供与建设工程有关真实、准确、齐全的原始资料行业监督行政检查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2.建设单位按照合同约定采购的建筑材料、建筑构配件和设备，是否符合设计文件和合同要求行业监督行政检查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3.公路工程发生质量事故，建设单位是否向隶属部门隐瞒不报、谎报或者拖延报告行业监督行政检查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建设单位是否与勘察、设计、施工、监理等单位在合同中明确工程质量目标、质量管理责任和要求，加强对涉及质量的关键人员、施工设备等的履约管理，组织开展质量检查，督促有关单位及时整改质量问题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6.建设单位是否按照国家规定办理工程质量监督手续行业监督行政检查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7.建设单位是否对未进行交工验收、交工验收不合格或没有备案的工程开放交通进行试运营行业监督行政检查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8.建设单位是否对不符合交工验收条件的项目按照合格项目验收行业监督行政检查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9.建设单位是否对试运营期超过3年的公路工程申请组织竣工验收行业监督行政检查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10.是否未经批准擅自修改工程设计行业监督行政检查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11.建设单位和个人是否拒绝或者阻碍建设工程质量监督检查人员依法执行职务行业监督行政检查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12.建设工程发生质量事故，建设单位是否依法依规向有关部门报告行业监督行政检查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14.施工单位是否偷工减料，使用不合格的建筑材料、建筑构配件和设备或者不按照工程设计图纸、施工技术标准施工行业监督行政检查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15.施工单位是否对建筑材料、建筑构配件、设备和商品混凝土进行检验，是否对涉及结构安全的试块试件以及有关材料进行取样检测行业监督行政检查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16.施工单位对施工中出现的质量问题或者验收不合格的工程，是否及时进行返工处理行业监督行政检查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17.施工单位是否建立质量责任制，按合同约定设立现场质量管理机构、配</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备工程技术人员和质量管理人员行业监督行政检查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18.施工单位是否建立、健全施工质量的检验制度，是否严格按规定施行班组自检、工序交接检、专职质检员检验的质量控制程序行业监督行政检查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19.对涉及结构安全的试块、试件以及有关材料，施工单位是否在建设单位或者工程监理单位监督下现场取样，并送具有相应资质等级的质量检测单位进行检测行业监督行政检查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20.施工单位是否建立、健全教育培训制度，未经教育培训或者考核不合格的人员，是否上岗作业行业监督行政检查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21.施工单位是否对分项工程、分部工程和单位工程进行质量自评；检验或者自评不合格的，是否进入下道工序行业监督行政检查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22.施工单位是否将未经监理工程师签认的建筑材料、构件和设备在工程上使用或安装行业监督行政检查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23.施工单位是否按照合同约定设立工地临时试验室，是否严格按照工程技术标准、检测规范和规程，在核定的试验检测参数范围内开展试验检测活动行业监督行政检查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24.是否在施工中不按照工程设计图纸或者施工技术标准施工的其他行为行业监督行政检查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25.施工单位是否履行保修义务或者拖延履行保修义务行业监督行政检查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26.是否建立健全质量责任制，或未由项目负责人全面负责施工现场质量管理工作，或变更项目负责人，是否按照有关规定办理变更手续行业监督行政检查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27.施工单位是否制定工程质量事故应急预案，组织应急演练的行业监督行政检查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28.是否根据工程施工进度告知检测单位进行工程质量检测行业监督行政检查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29.是否使用未经检验或检验不合格的原材料，供应未经检验或者检验不合格的商品混凝土、混凝土预制构件行业监督行政检查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30.施工单位和个人是否拒绝或者阻碍建设工程质量监督检查人员依法执行职务行业监督行政检查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31.建设工程发生质量事故，施工单位是否依法依规向有关部门报告行业监督行政检查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32.工程实施中施工单位是否加强对职工的教育与培训，按照国家有关规定</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建立健全质量和安全保证体系，落实质量和安全生产责任制，保证工程质量和工程安全行业监督行政检查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34.监理单位是否选派具备相应资格的总监理工程师和监理工程师进驻施工现场行业监督行政检查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35.监理单位是否依照法律、法规以及有关技术标准、设计文件和建设工程承包合同对施工质量实施监理行业监督行政检查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36.工程款拨付、交（竣）工验收是否经总监理工程师签字行业监督行政检查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37.监理工程师是否按照工程监理规范的要求，采取旁站、巡视和平行检验等形式实施监理行业监督行政检查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38.监理单位是否将不合格的建设工程、建筑材料、建筑构配件和设备按照合格签字行业监督行政检查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39.监理单位是否按合同约定设立现场监理机构行业监督行政检查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40.监理单位是否按规定程序和标准进行工程质量检查、检测和验收，对发现的质量问题及时督促整改行业监督行政检查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41.交工验收前监理单位是否根据有关标准和规范要求对工程质量进行检查验证、编制工程质量评定或者评估报告行业监督行政检查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42.监理单位是否按照合同约定设立工地临时试验室，是否严格按照工程技术标准、检测规范和规程，在核定的试验检测参数范围内开展试验检测活动行业监督行政检查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43.监理单位是否未履行或违反“按月向有关行政主管部门或者其委托的工程质量监督机构提交工程质量监理报告”质量义务的行业监督行政检查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44.监理单位是否违反“不得指定建筑材料、商品混凝土、混凝土预制构件、建筑构配件和设备的生产、供应单位”质量义务的行业监督行政检查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45.监理单位是否违反“不得执行建设单位发出的违反法律、法规和工程建设强制性标准的指令”质量义务的行业监督行政检查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46.监理单位和个人是否拒绝或者阻碍建设工程质量监督检查人员依法执行职务的行业监督行政检查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47.工程实施中，监理单位是否加强对职工的教育与培训，按照国家有关规定建立健全质量和安全保证体系，落实质量和安全生产责任制，保证工程质</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量和工程安全行业监督行政检查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48.建设、勘察、设计、施工、监理等单位是否书面明确相应的项目负责人和质量负责人行业监督行政检查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49.在检测过程中发现检测项目不合格且涉及工程主体结构安全的，检测机构是否及时向负有工程建设项目质量监督管理责任的交通运输主管部门报告行业监督行政检查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50.检测机构是否未取得相应资质、资质证书已过有效期、超出资质许可范围从事检测活动行业监督行政检查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51.检测机构接受监督检查时是否不如实提供有关资料，或者拒绝、阻碍监督检查的行业监督行政检查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52.检测机构是否未按规定进行样品管理行业监督行政检查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53.检测机构是否未按规定进行档案管理，造成检测数据无法追溯行业监督行政检查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54.检测机构是否存在检测合同、委托单、检测数据原始记录、检测报告未连续编号，是否存在抽撤和涂改情况行业监督行政检查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55.检测机构是否未履行或违反“使用符合相关行业管理规定条件的检测人员”的质量义务行业监督行政检查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56.检测机构是否未履行或违反“建立工程质量检测信息系统，及时向交通运输主管部门的工程质量检测监管信息系统上传检测信息”的质量义务行业监督行政检查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57.勘察单位是否违反“按照国家有关建设工程勘察文件编制深度要求，编制真实、准确的工程勘察文件”的质量义务行业监督行政检查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58.勘察单位是否违反“参加建设单位或者监理单位组织的勘察设计交底和文件图纸会审，对编制的工程勘察文件以书面形式向建设单位、设计单位、施工单位、监理单位作出详细说明”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59.勘察单位是否违反“按照技术标准、国家有关规定及合同约定参加工程质量验收和工程竣工验收”的质量义务行业监督行政检查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60.勘察单位是否违反“参加相关工程质量问题和质量事故处理，对因勘察造成的质量问题、质量事故提出相应技术处理方案”的质量义务行业监督行政检查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61.勘察单位是否违反“参加处理工程施工中出现的与勘察有关的其他问题”的质量义务行业监督行政检查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62.设计单位是否违反“按照国家有关建设工程设计文件编制深度要求，编制工程设计文件”的质量义务行业监督行政检查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63.设计单位是否违反“参加建设单位或者监理单位组织的勘察设计交底和文件图纸会审，对编制的工程设计文件以书面形式向建设单位、施工单位、监理单位作出详细说明”的质量义务行业监督行政检查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64.设计单位是否违反“按照技术标准、国家有关规定及合同约定参加工程质量验收和工程竣工验收”的质量义务行业监督行政检查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65.设计单位是否违反“对设计采用新材料、新技术的工程，按照国家有关规定向工程施工现场派驻设计代表”的质量义务行业监督行政检查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66.勘察、设计单位和个人是否拒绝或者阻碍建设工程质量监督检查人员依法执行职务行业监督行政检查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67.工程实施中，勘察设计单位是否加强对职工的教育与培训，按照国家有关规定建立健全质量和安全保证体系，落实质量和安全生产责任制，保证工程质量和工程安全行业监督行政检查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68.建设、勘察、设计、施工、监理等单位是否书面明确相应的项目负责人和质量负责人行业监督行政检查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69.勘察设计单位是否按照合同约定，按期提供勘察设计资料和设计文件；工程实施过程中，是否按照合同约定派驻设计代表，提供设计后续服务行业监督行政检查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70.施工图设计文件审查单位是否违反“对审查不合格的施工图设计文件，向建设单位一次性书面告知审查认定不合格的事实与依据，并提出修改后重新送审要求”的质量义务行业监督行政检查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71.施工图设计文件审查单位是否违反“对审查合格的施工图设计文件逐页加盖单位审查专用章，出具审查合格书并报住房城乡建设主管部门或者交通运输、水行政等主管部门备案”的质量义务行业监督行政检查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72.施工图设计文件审查单位是否违反“建立项目审查档案，完整归档保存”的质量义务行业监督行政检查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73.施工图设计文件审查单位是否违反“发现违反法律、法规和工程建设强制性标准问题的，报住房城乡建设主管部门或者交通运输、水行政等主管部门处理”的质量义务行业监督行政检查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74.施工图设计文件审查单位是否违反“不得以其他单位名义或者允许其他单位、个人以本单位名义承揽审查业务”的质量义务行业监督行政检查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公路水运工程项目法人及其他参建主体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机动车驾驶员培训机构综合执法行政检查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1.机动车驾驶员培训机构是否通过交通运输管理部门备案综合执法行政检查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机动车驾驶员培训机构是否将经营项目、培训能力、培训车型、培训内容、收费项目、收费标准、教练员、教学场地、投诉方式、学员满意度评价参与方式等情况在经营场所的醒目位置进行公示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3.机动车驾驶员培训机构是否按规定聘用教学人员综合执法行政检查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4.机动车驾驶员培训机构是否按规定建立教练员档案、学员档案、教学车辆档案综合执法行政检查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5.机动车驾驶员培训机构是否在备案的教练场地开展基础和场地驾驶培训综合执法行政检查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6.机动车驾驶员培训机构是否使用不符合规定的车辆及设施、设备从事教学活动综合执法行政检查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7.机动车驾驶员培训机构是否按规定报送《培训记录》、教练员档案主要信息和有关统计资料等信息综合执法行政检查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8.机动车驾驶员培训机构是否存在索取、收受学员财物或者谋取其他利益等不良行为综合执法行政检查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9.机动车驾驶员培训机构是否按规定与学员签订培训合同综合执法行政检查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10.机动车驾驶员培训机构是否按规定开展教练员岗前培训或者再教育综合执法行政检查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11.机动车驾驶员培训机构是否定期开展教练员教学质量信誉考核，公布考核结果综合执法行政检查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12.机动车驾驶员培训机构是否到备案地以外开展培训业务综合执法行政检查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13.机动车驾驶员培训机构是否在指定的路线、时间开展培训业务综合执法行政检查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14.机动车驾驶员培训机构是否按全国统一的教学大纲进行培训综合执法行政检查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15.机动车驾驶员培训机构是否按照规定组织学员结业考核，向考核合格的学员颁发《机动车驾驶员培训结业证书》综合执法行政检查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16.机动车驾驶员培训机构是否向未参加培训、未完成培训、未参加结业考核或者结业考核不合格的人员颁发《结业证书》综合执法行政检查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17.机动车驾驶培训教练员是否按全国统一的教学大纲进行教学综合执法行政检查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18.机动车驾驶培训教练员是否填写《教学日志》《培训记录》综合执法行政检查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19.机动车驾驶培训教练员是否在教学过程中将教学车辆交给与教学无关人员驾驶综合执法行政检查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20.机动车驾驶培训教练员是否在教学过程中有道路交通安全违法行为或者造成交通事故综合执法行政检查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21.机动车驾驶培训教练员是否存在索取、收受学员财物或者谋取其他利益等不良行为综合执法行政检查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22.机动车驾驶培训教练员是否按规定参加岗前培训或者再教育综合执法行政检查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23.机动车驾驶员培训机构是否培训记录弄虚作假综合执法行政检查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机动车驾驶员培训机构</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45%</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76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巡游出租汽车经营综合执法行政检查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1.巡游出租车客运经营者是否取得巡游出租汽车经营许可综合执法行政检查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2.巡游出租车客运经营者聘用的出租汽车驾驶员是否具有相应的从业资格证，按规定办理了注册手续综合执法行政检查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3.巡游出租车客运经营者是否按照规定组织实施了继续教育综合执法行政检查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4.出租汽车驾驶员是否未取得从业资格证或者超越从业资格证核定范围，驾驶出租汽车从事经营活动综合执法行政检查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5.出租汽车驾驶员是否转借、出租或者涂改从业资格证综合执法行政检查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6.出租汽车驾驶员从事巡游车服务，是否在车内醒目位置公开本人的从业信息或者公开的信息与实际驾驶人员不一致综合执法行政检查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7.巡游出租车客运经营者车辆是否取得道路运输证，且不存在失效、伪造、变造、被注销等无效情形综合执法行政检查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8.巡游出租车客运经营者是否在未取得巡游车《道路运输证》的车辆上喷涂巡游车专用标识和安装巡游车标志灯、空车待租标志、计程计价设备综合执法行政检查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9.巡游出租车客运经营者是否按规定建立并落实投诉举报制度综合执法行政检查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10.巡游出租车客运经营者是否擅自暂停、终止全部或者部分巡游出租汽车经营综合执法行政检查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11.巡游出租车客运经营者是否出租或者擅自转让巡游出租汽车车辆经营权综合执法行政检查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12.巡游出租车客运经营者是否及时纠正巡游出租汽车驾驶员转包经营综合执法行政检查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13.巡游出租车客运经营者是否按照规定保证车辆技术状况良好综合执法行政检查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14.巡游出租汽车经营者是否按照规定配置巡游出租汽车相关设备综合执法行政检查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15.巡游出租车客运经营者是否按照规定向交通运输等部门提供营运数据或者其他必要的营运资料综合执法行政检查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16.巡游出租车客运经营者是否实时传送车辆卫星定位装置记录或者生成的数据综合执法行政检查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17.出租汽车经营者、驾驶员以及其他单位和个人是否干扰或者屏蔽出租汽车相关设备数据传输信号综合执法行政检查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18.出租汽车经营者、驾驶员以及其他单位和个人是否篡改出租汽车相关设备记录或者生成的数据综合执法行政检查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巡游出租汽车公司</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7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机动车维修经营综合执法检查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1.机动车维修经营者是否通过交通运输管理部门备案综合执法行政检查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2.机动车维修经营者是否按照国务院交通运输主管部门制定的机动车维修经营业务标准开展维修服务综合执法行政检查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3.机动车维修经营者是否存在承修已报废的机动车或者擅自改装机动车综合执法行政检查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4.机动车维修经营者是否使用假冒伪劣配件维修机动车综合执法行政检查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5.机动车维修经营者是否签发虚假机动车维修竣工出厂合格证综合执法行政检查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机动车维修经营Ⅰ、Ⅱ企业以及其他类别企业和业户</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139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农药监督检查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企业资质、经营人员、经营场所及设施设备、规范经营管理、制度执行、产品质量、安全经营主体责任落实等。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农药经营门店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202</w:t>
            </w:r>
            <w:r>
              <w:rPr>
                <w:rFonts w:hint="eastAsia" w:ascii="Times New Roman" w:hAnsi="Times New Roman" w:eastAsia="仿宋_GB2312" w:cs="仿宋_GB2312"/>
                <w:kern w:val="2"/>
                <w:sz w:val="24"/>
                <w:szCs w:val="24"/>
                <w:lang w:val="en-US" w:eastAsia="zh-CN" w:bidi="ar-SA"/>
              </w:rPr>
              <w:t>6</w:t>
            </w:r>
            <w:r>
              <w:rPr>
                <w:rFonts w:hint="default" w:ascii="Times New Roman" w:hAnsi="Times New Roman" w:eastAsia="仿宋_GB2312" w:cs="仿宋_GB2312"/>
                <w:kern w:val="2"/>
                <w:sz w:val="24"/>
                <w:szCs w:val="24"/>
                <w:lang w:val="en-US" w:eastAsia="zh-CN" w:bidi="ar-SA"/>
              </w:rPr>
              <w:t>年4月-10月</w:t>
            </w:r>
          </w:p>
        </w:tc>
      </w:tr>
      <w:tr>
        <w:tblPrEx>
          <w:tblCellMar>
            <w:top w:w="0" w:type="dxa"/>
            <w:left w:w="108" w:type="dxa"/>
            <w:bottom w:w="0" w:type="dxa"/>
            <w:right w:w="108" w:type="dxa"/>
          </w:tblCellMar>
        </w:tblPrEx>
        <w:trPr>
          <w:trHeight w:val="136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种子监督检查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经营者基本情况、种子来源、进货时间、数量、种子经营许可证，种子质量、备案情况、经营档案、种子标签和使用说明等。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种子经营门店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4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兽药监督检查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兽药生产、经营企业：经营主体资格、安全生产管理、购销记录和台账、二维码追溯情况和设施设备等情况。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兽药经营门店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1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肥料监督检查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《肥料登记管理办法》落实情况。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肥料经营门店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8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饲料监督抽查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安全生产责任制落实情况、违法添加违禁药物、饲料及饲料添加剂生产许可条件等。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饲料经营门店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7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民用爆炸物品销售企业仓库安全监督检查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紫金县工业商务和信息化局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民用爆炸物品销售企业仓库管理安全制度落实情况，落实《民用爆炸物品安全管理条例》（中华人民共和国国务院令第466号）情况等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河源市泰安民用爆炸物品有限公司紫金分公司民爆物品仓库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115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出版物经营单位的检查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出版物经营单位经营情况的检查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出版物经营单位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34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娱乐场所的检查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娱乐场所取得相关许可证及其他相关情况的检查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舞厅、音乐厅、KTV、游艺室</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46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旅行社经营单位的检查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旅行社取得许可证情况、经营情况、通过网络经营旅行社业务和发布旅游经营信息网站情况的检查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旅行社经营单位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2026年6月-9月</w:t>
            </w:r>
          </w:p>
        </w:tc>
      </w:tr>
      <w:tr>
        <w:tblPrEx>
          <w:tblCellMar>
            <w:top w:w="0" w:type="dxa"/>
            <w:left w:w="108" w:type="dxa"/>
            <w:bottom w:w="0" w:type="dxa"/>
            <w:right w:w="108" w:type="dxa"/>
          </w:tblCellMar>
        </w:tblPrEx>
        <w:trPr>
          <w:trHeight w:val="140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高危险性体育项目经营企业的检查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经营高危险性体育项目（游泳）场所安全管理等的检查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32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互联网上网服务营业场所的检查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互联网上网服务营业场所取得相关许可证及其他相关情况的检查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互联网上网服务营业场所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14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工贸企业安全生产监督检查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重大事故隐患</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工贸行业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约90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4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危险化学品安全生产检查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安全生产主要负责人履职</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危险化学品行业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6.4%</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非煤矿山企业安全监督检查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安全生产检查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全县非煤矿山（含尾矿库）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73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统计执法检查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紫金县统计局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统计调查对象依法设置原始记录、统计台账情况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统计调查对象</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2026年8月31日</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燃气安全管理</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紫金县城市管理和综合执法局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燃气场站安全现状检查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全县燃气企业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2026年5月—11月</w:t>
            </w:r>
          </w:p>
        </w:tc>
      </w:tr>
      <w:tr>
        <w:tblPrEx>
          <w:tblCellMar>
            <w:top w:w="0" w:type="dxa"/>
            <w:left w:w="108" w:type="dxa"/>
            <w:bottom w:w="0" w:type="dxa"/>
            <w:right w:w="108" w:type="dxa"/>
          </w:tblCellMar>
        </w:tblPrEx>
        <w:trPr>
          <w:trHeight w:val="161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对从事城市生活垃圾经营性清扫、收集、运输、处理企业的检查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紫金县城市管理和综合执法局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对从事城市生活垃圾经营性清扫、收集、运输、处理企业的检查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县城相关经营企业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松材线虫病疫木管理检查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检查松材线虫病防治质量和疫木集中处理场</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中标松材线虫病防治项 目的单位及在地方林业 主管部门备案的疫木集中处理场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2026年3-10月</w:t>
            </w:r>
          </w:p>
        </w:tc>
      </w:tr>
      <w:tr>
        <w:tblPrEx>
          <w:tblCellMar>
            <w:top w:w="0" w:type="dxa"/>
            <w:left w:w="108" w:type="dxa"/>
            <w:bottom w:w="0" w:type="dxa"/>
            <w:right w:w="108" w:type="dxa"/>
          </w:tblCellMar>
        </w:tblPrEx>
        <w:trPr>
          <w:trHeight w:val="147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林草种子生产经营许可检查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检查种苗质量，林草种子生产经营许可、标签、档案、质量自检等各项制度的执行情况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依法取得生产经营许可证的从事林草种子生产经营者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林木采伐检查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检查采伐地点、范围、树种以及更新造林情况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全县范围林木采伐</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2026年3-9月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人工繁育野生动物场所检查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1.资质证照一致性核查；2.场所与设施条件核查；3.种源与台账管理核查；4.防疫与检疫核查。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已依法取得人工繁育国家重点野生动物行政许可决定书的公民、法人或者其他组织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全县机关、团体、企业、事业等单位监督检查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紫金县消防救援大队</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中华人民共和国消防法》、《机关、团体、企业、事业单位消防安全管理规定》（公安部令第61号令）、《消防监督检查规定》（公安部令第120号）、《消防产品监督管理规定》（公安部令第122号）、《社会消防技术服务管理规定》（应急管理部令第7号）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全县机关、团体、企业、事业等单位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336</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207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卷烟零售市场监督检查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紫金县烟草专卖局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卷烟零售户守法经营情况；烟草专卖零售许可证使用情况；国家烟草专卖局规定需要检查的其他事项。</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紫金县卷烟零售户</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359</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48</w:t>
            </w:r>
          </w:p>
        </w:tc>
        <w:tc>
          <w:tcPr>
            <w:tcW w:w="661"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2026年重点单位气象灾害防御执法检查</w:t>
            </w:r>
          </w:p>
        </w:tc>
        <w:tc>
          <w:tcPr>
            <w:tcW w:w="767"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紫金县气象局</w:t>
            </w:r>
          </w:p>
        </w:tc>
        <w:tc>
          <w:tcPr>
            <w:tcW w:w="1345"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2026年重点单位气象灾害防御执法检查</w:t>
            </w:r>
          </w:p>
        </w:tc>
        <w:tc>
          <w:tcPr>
            <w:tcW w:w="275"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紫金县气象灾害防御重点单位</w:t>
            </w:r>
          </w:p>
        </w:tc>
        <w:tc>
          <w:tcPr>
            <w:tcW w:w="386"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36"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 月-10月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49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紫金县企业不定向抽查</w:t>
            </w:r>
          </w:p>
        </w:tc>
        <w:tc>
          <w:tcPr>
            <w:tcW w:w="767" w:type="pct"/>
            <w:vMerge w:val="restart"/>
            <w:tcBorders>
              <w:top w:val="single" w:color="auto" w:sz="4" w:space="0"/>
              <w:left w:val="nil"/>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登记事项、公示信息两大抽查类别检查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2025年度需年报的企业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国家企业信用信息公示系统（广东）企业数量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紫金县未年报经营异常企业定向抽查</w:t>
            </w:r>
          </w:p>
        </w:tc>
        <w:tc>
          <w:tcPr>
            <w:tcW w:w="767" w:type="pct"/>
            <w:vMerge w:val="continue"/>
            <w:tcBorders>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登记事项、公示公示信息检查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未进行2024年度年报的企业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年报截止后统计的未年报列入经营异常企业数量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2026年7-10月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电子商务经营行为监督检查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电子商务平台经营者履行主体责任的检查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紫金县食品相关产品生产企业抽查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食品相关产品质量安全监督检查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全县食品相关产品获证企业（重点抽查婴幼儿奶瓶和商用电热电动食品加工设备生产企业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 w:val="21"/>
                <w:szCs w:val="21"/>
                <w:lang w:val="en-US" w:eastAsia="zh-CN"/>
              </w:rPr>
              <w:t>53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紫金县食品生产企业抽查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食品生产监督检查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全县食品生产获证企业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约65</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零售药店GSP符合性检查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零售药店GSP符合性检查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全县零售药店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277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全县餐饮服务提供者（网络经营）、集中用餐单位食堂食品安全监督检查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对食品经营主体资格、食 品安全制度落实情况、餐 饮操作规范和《食品安全 国家标准 餐饮服务通用 卫生规范（GB31654-2021）落实情况等进 行检查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全县餐饮服务提供者(含网络经营）、集中用餐单位食堂（食品安全风险等级为D级除外）</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约1800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食品（含特殊食品）销售监督抽查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保健食品销售监督检查、特殊医学用途配方食品销售监督检查、婴幼儿配方食品销售监督检查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特殊食品销售单位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根据《食品生产经营监督检查管理办法》《广东省市场监督管理局关于进一步做好食品销售监督管理工作通知》确定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全县地理标志专用标志合法使用人定向抽查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专用标志使用是否符合《广东省地理标志条例》（广东省第十三届人民代表大会常务委员会公告（第123号）、《地理标志专用标志使用管理办法（试行）》（国家知识产权局公告第354号）、《地理标志产品保护办法》（国家知识产权局令第80号）规定</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地理标志专用标志用标企业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2026年12月前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2026年重点专业市场知识产权保护状况定向检查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商标使用行为（含集体商标、证明商标以及地理标志）是否符合《商标法》第六条、第十条、第十四条第五款、第十六条、第四十三条第二款、第四十九条第一款、《商标法实施条例》第四条、《集体商标、证明商标注册和管理办法》第十七条、第十八条、第十九条、第二十二条的规定。</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2.专利证书、产品专利宣传真实性是否《专利法》第六十八条《专利法实施细则》第八十四条的规定。</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重点市场经营主体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2026年12月前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紫金县知识产权商标代理行为的检查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商标代理行为的检查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经市场监管部门登记从事商标代理业务的服务机构（所）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2026年12月31日前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团体标准、企业标准监督检查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标准文本内容</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全县制定企业标准、团体标准的企事业单位、社团组织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企业标准信息公共服务平台公示的企业数量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在用计量器具监督检查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在用计量器具监督检查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对加油机、眼镜、压力表、电子秤、地磅计量器具等进行抽查检定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法定计量检定机构专项监督检查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法定计量检定机构监督检 查、在用计量标准器具监 督检查、注册计量师监督 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县内法定计量检定机构、县内在用计量标准器具、县内法定计量检定 机构已取得市场监管部门颁发的注册计量师注册证的人员</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能效标识计量监督检查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用能产品能效标识专项计量监督检查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列入实行能效 标识的产品目录的用能产品 的生产者、进口商及销售者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水效标识计量监督检查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水效标识专项计量监督检查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列入实行水效标识的产品目录的用能产品的生产者、进口商及销售者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定量包装商品净含量计量监督检查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定量包装商品净含量计量监督检查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定量包装商品生产方或销售者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检验检测机构监督抽查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检验检测机构检查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全县获得省级资质认定证书的检验检测机构（生态环境监测机构、机动车检验机构除外）。</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广东省市场监督管理局信息公示平台公示紫金检验检测机构数量（机动车检验机构除外）。</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按照省局规定的比例抽取。</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自愿性认证活动及结果合规性、 有效性的检查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认证活动和认证结果检查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全县获得自愿性认证获证组织。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国家认证行政监管系统河源获得自愿性认证获证组织数量。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按照国家总局在国家认证行政监管系统下发的任务。</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机动车检验机构监督检查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机动车检验机构开展检验情况的检查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全县机动车检验机构</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广东省市场监督管理局信息公示平台公示紫金机动车检验机构。</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按照国家总局在国家认证行政监管系统下发的任务。</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2026年3月至10月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电动自行车充电价格专项抽查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是否存在不执行政府定价、不按规定明码标价、价格欺诈等价格违法行为</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辖区内电动自行车充电设施运营单位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20户</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r>
              <w:rPr>
                <w:rFonts w:hint="default" w:ascii="Times New Roman" w:hAnsi="Times New Roman" w:eastAsia="仿宋_GB2312" w:cs="仿宋_GB2312"/>
                <w:kern w:val="2"/>
                <w:sz w:val="24"/>
                <w:szCs w:val="24"/>
                <w:lang w:val="en" w:eastAsia="zh-CN" w:bidi="ar-SA"/>
              </w:rPr>
              <w:t>%</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水电气企业收费专项抽查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是否存在不执行政府定价、不按规定明码标价、价格欺诈等价格违法行为;是否按规定落实价格优惠政策</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辖区内水电气经营企业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2户</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r>
              <w:rPr>
                <w:rFonts w:hint="default" w:ascii="Times New Roman" w:hAnsi="Times New Roman" w:eastAsia="仿宋_GB2312" w:cs="仿宋_GB2312"/>
                <w:kern w:val="2"/>
                <w:sz w:val="24"/>
                <w:szCs w:val="24"/>
                <w:lang w:val="en" w:eastAsia="zh-CN" w:bidi="ar-SA"/>
              </w:rPr>
              <w:t>10</w:t>
            </w:r>
            <w:r>
              <w:rPr>
                <w:rFonts w:hint="eastAsia" w:ascii="Times New Roman" w:hAnsi="Times New Roman" w:eastAsia="仿宋_GB2312" w:cs="仿宋_GB2312"/>
                <w:kern w:val="2"/>
                <w:sz w:val="24"/>
                <w:szCs w:val="24"/>
                <w:lang w:val="en-US" w:eastAsia="zh-CN" w:bidi="ar-SA"/>
              </w:rPr>
              <w:t>月底前</w:t>
            </w:r>
          </w:p>
        </w:tc>
      </w:tr>
      <w:tr>
        <w:tblPrEx>
          <w:tblCellMar>
            <w:top w:w="0" w:type="dxa"/>
            <w:left w:w="108" w:type="dxa"/>
            <w:bottom w:w="0" w:type="dxa"/>
            <w:right w:w="108" w:type="dxa"/>
          </w:tblCellMar>
        </w:tblPrEx>
        <w:trPr>
          <w:trHeight w:val="186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紫金县2026年锅炉使用单位监督检查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锅炉使用情况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全县锅炉使用单位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61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紫金县2026年叉车监督抽查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对特种设备使用单位的监督检查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全县叉车使用单位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126家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2026年工业产品生产许可证获证企业监督检查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抽查获证企业生产情况，是否持续保持取得生产许可的规定条件</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辖区内工业生产许可证获证企业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2026年度机动车销售企业监管监督检查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机动车获得强制性产品认证情况检查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机动车销售企业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广告行为检查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药品、医疗器械、保健食品、特殊医学用途配方食品广告主发布相关广告的审查批准情况检查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企业、个体工商户及其他经营单位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约30家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360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公共卫生随机监督抽查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对学校、公共场所、餐具饮具集中消毒服务单位、生活饮用水和涉水产品生产经营单位的卫生管理情况的监督抽查（抽检）。</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抽查学校、公共场所、餐具饮具集中消毒服务单位、生活饮用水集中供水单位、涉水产品生产经营单位等。（抽查对象范围和数量由国家卫健委统一在卫生监督信息系统抽取确定）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消毒产品随机监督抽查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对消毒产品生产企业的生产条件、生产过程、原料卫生质量以及消毒产品卫生安全评价报告、标签（铭牌）、说明书等进行抽查。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抽查第一、二、三类消毒产品生产企业。（抽查对象范围和数量由国家卫健委统一在卫生监督信息系统抽取确定）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205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传染病防治随机监督抽查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对医疗卫生机构开展预防接种、传染病报告、疫情控制、消毒隔离以及医疗废物处置等方面情况进行抽查，对其他违反卫生健康法律法规的行为进行检查。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抽查医疗机构、疾控机构、采供血机构、医学检验实验室（抽查对象范围和数量由国家卫健委统一在卫生监督信息系统抽取确定）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36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医疗卫生随机监督抽查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对医疗卫生机构医疗诊治行为、机构人员资质、医疗质量控制、依法执业自查等方面情况进行抽查，对其他违反卫生健康法律法规的行为进行检查。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抽查医疗机构（含医疗美容机构）、采供血机构、母婴保健技术服务机构、医学检验实验室。（抽查对象范围和数量由国家卫健委统一在卫生监督信息系统抽取确定）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437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80</w:t>
            </w: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用人单位职业卫生、放射卫生随机监督抽查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对职业（放射）相关单位的职业病防治管理、职业健康检查、职业病诊断、放射诊疗管理、职业（放射）危害因素检测评价等方面工作开展情况进行抽查。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抽查用人单位、放射诊疗机构、职业健康检查（诊断）机构、职业卫生和放射卫生技术服务机构。（抽查对象范围和数量由国家卫健委统一在卫生监督信息系统抽取确定）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345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对生产建设项目水土保持实施情况的监管</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紫金县水务局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水土保持工作组织领导、日常工作管理、防治责任分解落实情况；2.水土保持初步设计与施工图设计落实情况；3.水土流失预防和治理措施的落实情况；4.水土保持工程监测、监理工作开展情况；5.违法违规堆放弃土弃渣及水土保持方案变更情况；6.水土保持补偿费缴纳情况；7.水行政主管部门历次监督检查意见的整改落实情况；8.水土保持单位工程验收和自查初验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被许可人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2026年4月-12月</w:t>
            </w:r>
          </w:p>
        </w:tc>
      </w:tr>
      <w:tr>
        <w:tblPrEx>
          <w:tblCellMar>
            <w:top w:w="0" w:type="dxa"/>
            <w:left w:w="108" w:type="dxa"/>
            <w:bottom w:w="0" w:type="dxa"/>
            <w:right w:w="108" w:type="dxa"/>
          </w:tblCellMar>
        </w:tblPrEx>
        <w:trPr>
          <w:trHeight w:val="47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取水许可监督检查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w:t>
            </w:r>
            <w:bookmarkStart w:id="0" w:name="_GoBack"/>
            <w:bookmarkEnd w:id="0"/>
            <w:r>
              <w:rPr>
                <w:rFonts w:hint="eastAsia" w:ascii="Times New Roman" w:hAnsi="Times New Roman" w:eastAsia="仿宋_GB2312" w:cs="仿宋_GB2312"/>
                <w:kern w:val="2"/>
                <w:sz w:val="24"/>
                <w:szCs w:val="24"/>
                <w:lang w:val="en-US" w:eastAsia="zh-CN" w:bidi="ar-SA"/>
              </w:rPr>
              <w:t>金县水务局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是否按照取水申请批准文件建设取水工程或者设施；2.是否按照批准的取水许可规定条件取水，并按批准的用途用水；3.是否按时申报计划用水，是否按照批准的计划取水，是否如实提供取用水有关情况；4.是否执行审批机关作出的取水量限制决定，或者未经批准擅自转让取水权；5.是否安装计量设施（在线监测）并保证其运行正常；6.是否按照要求退水；7.是否依法缴纳水资源税；8.是否按照规定时限向审批机关提出延续取水许可申请；9.需要调整计划用水总量的，是否依法向管理机关提出调整，并取得核定或者备案文件。</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县级已发证取水户</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2026年4月-12月</w:t>
            </w:r>
          </w:p>
        </w:tc>
      </w:tr>
    </w:tbl>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TAxZDZlYWE4NDgwMTJhZDlkYWU1NjkzOGZjYjAifQ=="/>
  </w:docVars>
  <w:rsids>
    <w:rsidRoot w:val="22A25462"/>
    <w:rsid w:val="0109449D"/>
    <w:rsid w:val="02E903CF"/>
    <w:rsid w:val="02EF2E40"/>
    <w:rsid w:val="031E7891"/>
    <w:rsid w:val="039D6C50"/>
    <w:rsid w:val="048A766C"/>
    <w:rsid w:val="06655B8A"/>
    <w:rsid w:val="0A3960E0"/>
    <w:rsid w:val="0B8C3FEE"/>
    <w:rsid w:val="0CC214DB"/>
    <w:rsid w:val="0EF27891"/>
    <w:rsid w:val="0FD72D02"/>
    <w:rsid w:val="10517053"/>
    <w:rsid w:val="107B2FAF"/>
    <w:rsid w:val="10C2608D"/>
    <w:rsid w:val="12674855"/>
    <w:rsid w:val="12691D23"/>
    <w:rsid w:val="134925B4"/>
    <w:rsid w:val="13705313"/>
    <w:rsid w:val="13F02270"/>
    <w:rsid w:val="14B4083D"/>
    <w:rsid w:val="14DB73DF"/>
    <w:rsid w:val="15907EEF"/>
    <w:rsid w:val="16E93262"/>
    <w:rsid w:val="16F636E0"/>
    <w:rsid w:val="17191F74"/>
    <w:rsid w:val="17730085"/>
    <w:rsid w:val="18DB3999"/>
    <w:rsid w:val="195A6DE8"/>
    <w:rsid w:val="19D47BEF"/>
    <w:rsid w:val="1C124C1B"/>
    <w:rsid w:val="1C3928DC"/>
    <w:rsid w:val="1E0345E3"/>
    <w:rsid w:val="202B7A06"/>
    <w:rsid w:val="22A25462"/>
    <w:rsid w:val="24466D8E"/>
    <w:rsid w:val="26B03985"/>
    <w:rsid w:val="26C979A6"/>
    <w:rsid w:val="296A3769"/>
    <w:rsid w:val="2A0A5C85"/>
    <w:rsid w:val="2A44644C"/>
    <w:rsid w:val="2C1837E7"/>
    <w:rsid w:val="2CBA0563"/>
    <w:rsid w:val="2DBB6416"/>
    <w:rsid w:val="30A403BC"/>
    <w:rsid w:val="315D3F87"/>
    <w:rsid w:val="329245F1"/>
    <w:rsid w:val="33226B1A"/>
    <w:rsid w:val="340071A3"/>
    <w:rsid w:val="34207846"/>
    <w:rsid w:val="343A08B6"/>
    <w:rsid w:val="344C23E9"/>
    <w:rsid w:val="344C4197"/>
    <w:rsid w:val="34607C42"/>
    <w:rsid w:val="34DA79F4"/>
    <w:rsid w:val="350C2516"/>
    <w:rsid w:val="362706E4"/>
    <w:rsid w:val="36F9612C"/>
    <w:rsid w:val="371C068F"/>
    <w:rsid w:val="38926838"/>
    <w:rsid w:val="398E557D"/>
    <w:rsid w:val="39AB7238"/>
    <w:rsid w:val="3A78593F"/>
    <w:rsid w:val="3AAB658A"/>
    <w:rsid w:val="3AF92B9E"/>
    <w:rsid w:val="3AFD174C"/>
    <w:rsid w:val="3CF3200B"/>
    <w:rsid w:val="3D7106DB"/>
    <w:rsid w:val="3EDB4A95"/>
    <w:rsid w:val="3FFF0C57"/>
    <w:rsid w:val="40926FFF"/>
    <w:rsid w:val="40942502"/>
    <w:rsid w:val="41EC3DB8"/>
    <w:rsid w:val="41F145CF"/>
    <w:rsid w:val="425275F5"/>
    <w:rsid w:val="426B25D4"/>
    <w:rsid w:val="42A55765"/>
    <w:rsid w:val="42E303BC"/>
    <w:rsid w:val="439105CF"/>
    <w:rsid w:val="466E4440"/>
    <w:rsid w:val="46B33F80"/>
    <w:rsid w:val="46C23027"/>
    <w:rsid w:val="46DA1AD6"/>
    <w:rsid w:val="475D5424"/>
    <w:rsid w:val="476F3E2E"/>
    <w:rsid w:val="477261B2"/>
    <w:rsid w:val="47847862"/>
    <w:rsid w:val="47EB386F"/>
    <w:rsid w:val="48C61172"/>
    <w:rsid w:val="493D00FA"/>
    <w:rsid w:val="4A8F075E"/>
    <w:rsid w:val="4B3F217F"/>
    <w:rsid w:val="4C5440D8"/>
    <w:rsid w:val="4D2C0BB1"/>
    <w:rsid w:val="4ECA3267"/>
    <w:rsid w:val="51334745"/>
    <w:rsid w:val="523A74F6"/>
    <w:rsid w:val="541327B7"/>
    <w:rsid w:val="597B335B"/>
    <w:rsid w:val="59C67F57"/>
    <w:rsid w:val="5A70032F"/>
    <w:rsid w:val="5B9D664B"/>
    <w:rsid w:val="5BE30FD5"/>
    <w:rsid w:val="5BF06255"/>
    <w:rsid w:val="5BF949F3"/>
    <w:rsid w:val="5DEF6C4B"/>
    <w:rsid w:val="5E807125"/>
    <w:rsid w:val="5ECC5D50"/>
    <w:rsid w:val="5F684676"/>
    <w:rsid w:val="60376493"/>
    <w:rsid w:val="605338C5"/>
    <w:rsid w:val="60F569C1"/>
    <w:rsid w:val="614F54B5"/>
    <w:rsid w:val="618A317B"/>
    <w:rsid w:val="61E97F8F"/>
    <w:rsid w:val="62122FF4"/>
    <w:rsid w:val="626F6172"/>
    <w:rsid w:val="62762D19"/>
    <w:rsid w:val="65156AE4"/>
    <w:rsid w:val="65E14B73"/>
    <w:rsid w:val="679C650C"/>
    <w:rsid w:val="6972161C"/>
    <w:rsid w:val="69FD3A6F"/>
    <w:rsid w:val="6AA51FE9"/>
    <w:rsid w:val="6AD17AA8"/>
    <w:rsid w:val="6AFC5C0F"/>
    <w:rsid w:val="6C5817A8"/>
    <w:rsid w:val="6D195F0B"/>
    <w:rsid w:val="6ED2525C"/>
    <w:rsid w:val="6F0931B7"/>
    <w:rsid w:val="6F282B2F"/>
    <w:rsid w:val="701423F0"/>
    <w:rsid w:val="70F9671F"/>
    <w:rsid w:val="71306040"/>
    <w:rsid w:val="72414F83"/>
    <w:rsid w:val="73F1738A"/>
    <w:rsid w:val="740C77A7"/>
    <w:rsid w:val="7421291C"/>
    <w:rsid w:val="746133B9"/>
    <w:rsid w:val="7536625B"/>
    <w:rsid w:val="7581079F"/>
    <w:rsid w:val="75D82E83"/>
    <w:rsid w:val="76993924"/>
    <w:rsid w:val="77D13620"/>
    <w:rsid w:val="787B4617"/>
    <w:rsid w:val="791D5841"/>
    <w:rsid w:val="79400E79"/>
    <w:rsid w:val="7BA45C33"/>
    <w:rsid w:val="7C4D1734"/>
    <w:rsid w:val="7C923CDE"/>
    <w:rsid w:val="7CF44998"/>
    <w:rsid w:val="7D2863F0"/>
    <w:rsid w:val="7D52384C"/>
    <w:rsid w:val="7E4E00D8"/>
    <w:rsid w:val="7E741B85"/>
    <w:rsid w:val="7EDA732B"/>
    <w:rsid w:val="7F28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next w:val="1"/>
    <w:qFormat/>
    <w:uiPriority w:val="0"/>
    <w:pPr>
      <w:ind w:firstLine="420" w:firstLineChars="200"/>
    </w:pPr>
  </w:style>
  <w:style w:type="paragraph" w:customStyle="1" w:styleId="6">
    <w:name w:val="_Style 5"/>
    <w:basedOn w:val="1"/>
    <w:qFormat/>
    <w:uiPriority w:val="0"/>
    <w:pPr>
      <w:ind w:firstLine="200" w:firstLineChars="200"/>
    </w:pPr>
    <w:rPr>
      <w:rFonts w:ascii="Times New Roman" w:hAnsi="Times New Roman" w:eastAsia="宋体" w:cs="Times New Roman"/>
      <w:sz w:val="24"/>
    </w:rPr>
  </w:style>
  <w:style w:type="character" w:customStyle="1" w:styleId="7">
    <w:name w:val="font21"/>
    <w:basedOn w:val="5"/>
    <w:qFormat/>
    <w:uiPriority w:val="0"/>
    <w:rPr>
      <w:rFonts w:ascii="宋体" w:hAnsi="宋体" w:eastAsia="宋体" w:cs="宋体"/>
      <w:color w:val="000000"/>
      <w:sz w:val="20"/>
      <w:szCs w:val="20"/>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河源市工商局</Company>
  <Pages>1</Pages>
  <Words>564</Words>
  <Characters>584</Characters>
  <Lines>0</Lines>
  <Paragraphs>0</Paragraphs>
  <TotalTime>23</TotalTime>
  <ScaleCrop>false</ScaleCrop>
  <LinksUpToDate>false</LinksUpToDate>
  <CharactersWithSpaces>626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2022-02-22T07:43:00Z</dcterms:created>
  <dc:creator>陈辉煌</dc:creator>
  <cp:lastModifiedBy>袁雄杰</cp:lastModifiedBy>
  <dcterms:modified xsi:type="dcterms:W3CDTF">2026-04-07T08:31:58Z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7A7FA177927247B4912CDDCB0E0F106E_13</vt:lpwstr>
  </property>
  <property fmtid="{D5CDD505-2E9C-101B-9397-08002B2CF9AE}" pid="4" name="KSOTemplateDocerSaveRecord">
    <vt:lpwstr>eyJoZGlkIjoiOTk3NWNlMGE4NGZlNDhkNDNhNTVjZTczM2Y2ZWYzMjgiLCJ1c2VySWQiOiI5Mzk3MTI0NjYifQ==</vt:lpwstr>
  </property>
</Properties>
</file>